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5524"/>
      </w:tblGrid>
      <w:tr>
        <w:tblPrEx/>
        <w:trPr>
          <w:trHeight w:val="171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24" w:type="dxa"/>
            <w:textDirection w:val="lrTb"/>
            <w:noWrap w:val="false"/>
          </w:tcPr>
          <w:p>
            <w:pPr>
              <w:ind w:left="567" w:right="0" w:firstLine="0"/>
              <w:jc w:val="left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Приложение № 1 к Документации о закупке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left="567" w:right="0" w:firstLine="0"/>
              <w:jc w:val="left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</w:tbl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  <w:t xml:space="preserve">ОКПД2  33.12.18.000 Выполнение работ по ремонту кондиционеров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keepLines/>
        <w:keepNext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СП «ТЭЦ Восточная», г. Владивосток»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Lines/>
        <w:keepNext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ЛОТ</w:t>
      </w:r>
      <w:r>
        <w:rPr>
          <w:sz w:val="28"/>
          <w:szCs w:val="28"/>
        </w:rPr>
        <w:t xml:space="preserve"> № 11038003-РЕМ ПРОД-2026-ДГК-ВосТЭЦ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8"/>
        <w:tabs>
          <w:tab w:val="left" w:pos="567" w:leader="none"/>
          <w:tab w:val="right" w:pos="9911" w:leader="dot"/>
        </w:tabs>
        <w:rPr>
          <w:caps/>
          <w:sz w:val="24"/>
          <w:szCs w:val="24"/>
        </w:rPr>
      </w:pPr>
      <w:r>
        <w:rPr>
          <w:rFonts w:cstheme="majorHAnsi"/>
          <w:b w:val="0"/>
          <w:i/>
          <w:sz w:val="24"/>
          <w:szCs w:val="24"/>
        </w:rPr>
        <w:fldChar w:fldCharType="begin"/>
      </w:r>
      <w:r>
        <w:rPr>
          <w:rFonts w:cstheme="majorHAnsi"/>
          <w:b w:val="0"/>
          <w:i/>
          <w:sz w:val="24"/>
          <w:szCs w:val="24"/>
        </w:rPr>
        <w:instrText xml:space="preserve"> TOC \o "1-4" \h \z \u </w:instrText>
      </w:r>
      <w:r>
        <w:rPr>
          <w:rFonts w:cstheme="majorHAnsi"/>
          <w:b w:val="0"/>
          <w:i/>
          <w:sz w:val="24"/>
          <w:szCs w:val="24"/>
        </w:rPr>
        <w:fldChar w:fldCharType="separate"/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sdt>
      <w:sdtPr>
        <w15:appearance w15:val="boundingBox"/>
        <w:placeholder>
          <w:docPart w:val="DefaultPlaceholder_TEXT"/>
        </w:placeholder>
        <w:docPartObj>
          <w:docPartGallery w:val="Table of Contents"/>
          <w:docPartUnique w:val="true"/>
        </w:docPartObj>
        <w:rPr>
          <w:caps/>
          <w:sz w:val="24"/>
          <w:szCs w:val="24"/>
        </w:rPr>
      </w:sdtPr>
      <w:sdtContent>
        <w:p>
          <w:pPr>
            <w:pStyle w:val="1138"/>
            <w:tabs>
              <w:tab w:val="left" w:pos="567" w:leader="none"/>
              <w:tab w:val="right" w:pos="9921" w:leader="dot"/>
            </w:tabs>
            <w:rPr>
              <w:caps/>
            </w:rPr>
          </w:pPr>
          <w:r/>
          <w:hyperlink w:tooltip="#_Toc1" w:anchor="_Toc1" w:history="1">
            <w:r>
              <w:rPr>
                <w:rFonts w:ascii="Times New Roman" w:hAnsi="Times New Roman" w:eastAsia="Calibri" w:cs="Times New Roman"/>
              </w:rPr>
              <w:t xml:space="preserve">1.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Общие сведения</w:t>
            </w:r>
            <w:r>
              <w:rPr>
                <w:rStyle w:val="1140"/>
                <w:caps/>
              </w:rPr>
            </w:r>
            <w:r>
              <w:tab/>
            </w:r>
            <w:r>
              <w:fldChar w:fldCharType="begin"/>
              <w:instrText xml:space="preserve">PAGEREF _Toc1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3</w:t>
            </w:r>
            <w:r>
              <w:fldChar w:fldCharType="end"/>
            </w:r>
          </w:hyperlink>
          <w:r>
            <w:rPr>
              <w:caps/>
            </w:rPr>
          </w:r>
          <w:r>
            <w:rPr>
              <w:caps/>
            </w:rPr>
          </w:r>
        </w:p>
        <w:p>
          <w:pPr>
            <w:pStyle w:val="1151"/>
            <w:tabs>
              <w:tab w:val="left" w:pos="1417" w:leader="none"/>
              <w:tab w:val="right" w:pos="9921" w:leader="dot"/>
            </w:tabs>
          </w:pPr>
          <w:r/>
          <w:hyperlink w:tooltip="#_Toc2" w:anchor="_Toc2" w:history="1">
            <w:r>
              <w:rPr>
                <w:rFonts w:ascii="Times New Roman" w:hAnsi="Times New Roman" w:eastAsia="Calibri" w:cs="Times New Roman"/>
              </w:rPr>
              <w:t xml:space="preserve">1.1.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Наименование закупаемой продукции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_Toc2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51"/>
            <w:tabs>
              <w:tab w:val="right" w:pos="9921" w:leader="dot"/>
            </w:tabs>
          </w:pPr>
          <w:r/>
          <w:hyperlink w:tooltip="#_Toc3" w:anchor="_Toc3" w:history="1">
            <w:r>
              <w:rPr>
                <w:rStyle w:val="1140"/>
              </w:rPr>
            </w:r>
            <w:r>
              <w:rPr>
                <w:rStyle w:val="1140"/>
              </w:rPr>
              <w:t xml:space="preserve">ОКПД2  33.12.18.000 Выполнение работ по ремонту кондиционеров СП «ТЭЦ Восточная», г. Владивосток»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_Toc3 \h</w:instrText>
              <w:fldChar w:fldCharType="separate"/>
            </w:r>
            <w:r>
              <w:rPr>
                <w:rStyle w:val="1140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51"/>
            <w:tabs>
              <w:tab w:val="left" w:pos="1417" w:leader="none"/>
              <w:tab w:val="right" w:pos="9921" w:leader="dot"/>
            </w:tabs>
          </w:pPr>
          <w:r/>
          <w:hyperlink w:tooltip="#_Toc4" w:anchor="_Toc4" w:history="1">
            <w:r>
              <w:rPr>
                <w:rFonts w:ascii="Times New Roman" w:hAnsi="Times New Roman" w:eastAsia="Calibri" w:cs="Times New Roman"/>
              </w:rPr>
              <w:t xml:space="preserve">1.2.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Цель выполнения работ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_Toc4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51"/>
            <w:tabs>
              <w:tab w:val="left" w:pos="1417" w:leader="none"/>
              <w:tab w:val="right" w:pos="9921" w:leader="dot"/>
            </w:tabs>
          </w:pPr>
          <w:r/>
          <w:hyperlink w:tooltip="#_Toc5" w:anchor="_Toc5" w:history="1">
            <w:r>
              <w:rPr>
                <w:rFonts w:ascii="Times New Roman" w:hAnsi="Times New Roman" w:eastAsia="Calibri" w:cs="Times New Roman"/>
              </w:rPr>
              <w:t xml:space="preserve">1.3.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Существующее положение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_Toc5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38"/>
            <w:tabs>
              <w:tab w:val="right" w:pos="9921" w:leader="dot"/>
            </w:tabs>
          </w:pPr>
          <w:r/>
          <w:hyperlink w:tooltip="#_Toc6" w:anchor="_Toc6" w:history="1">
            <w:r>
              <w:rPr>
                <w:rStyle w:val="1140"/>
              </w:rPr>
            </w:r>
            <w:r>
              <w:rPr>
                <w:rStyle w:val="1140"/>
              </w:rPr>
              <w:t xml:space="preserve">Таблица 1. Перечень объектов заказчика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_Toc6 \h</w:instrText>
              <w:fldChar w:fldCharType="separate"/>
            </w:r>
            <w:r>
              <w:rPr>
                <w:rStyle w:val="1140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51"/>
            <w:tabs>
              <w:tab w:val="right" w:pos="9921" w:leader="dot"/>
            </w:tabs>
          </w:pPr>
          <w:r/>
          <w:hyperlink w:tooltip="#_Toc7" w:anchor="_Toc7" w:history="1">
            <w:r>
              <w:rPr>
                <w:rStyle w:val="1140"/>
              </w:rPr>
            </w:r>
            <w:r>
              <w:rPr>
                <w:rStyle w:val="1140"/>
              </w:rPr>
              <w:t xml:space="preserve">ОКПД2  33.12.18.000 Выполнение работ по ремонту кондиционеров СП «ТЭЦ Восточная», г. Владивосток»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_Toc7 \h</w:instrText>
              <w:fldChar w:fldCharType="separate"/>
            </w:r>
            <w:r>
              <w:rPr>
                <w:rStyle w:val="1140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51"/>
            <w:tabs>
              <w:tab w:val="left" w:pos="1417" w:leader="none"/>
              <w:tab w:val="right" w:pos="9921" w:leader="dot"/>
            </w:tabs>
          </w:pPr>
          <w:r/>
          <w:hyperlink w:tooltip="#_Toc8" w:anchor="_Toc8" w:history="1">
            <w:r>
              <w:rPr>
                <w:rFonts w:ascii="Times New Roman" w:hAnsi="Times New Roman" w:eastAsia="Calibri" w:cs="Times New Roman"/>
              </w:rPr>
              <w:t xml:space="preserve">1.4.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Информация в отношении исполнения договора, </w:t>
            </w:r>
            <w:r>
              <w:rPr>
                <w:rStyle w:val="1140"/>
              </w:rPr>
              <w:t xml:space="preserve">которая должна быть учтена при подготовке заявки </w:t>
            </w:r>
            <w:r>
              <w:rPr>
                <w:rStyle w:val="1140"/>
              </w:rPr>
              <w:t xml:space="preserve">(в том числе перечень ресурсов, услуг и документов, предоставляемых заказчиком на этапе исполнения договора).</w:t>
            </w:r>
            <w:r>
              <w:rPr>
                <w:rStyle w:val="1140"/>
              </w:rPr>
              <w:t xml:space="preserve"> 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_Toc8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138"/>
            <w:tabs>
              <w:tab w:val="left" w:pos="567" w:leader="none"/>
              <w:tab w:val="right" w:pos="9921" w:leader="dot"/>
            </w:tabs>
            <w:rPr>
              <w:iCs/>
              <w:caps/>
            </w:rPr>
          </w:pPr>
          <w:r/>
          <w:hyperlink w:tooltip="#_Toc9" w:anchor="_Toc9" w:history="1">
            <w:r>
              <w:rPr>
                <w:rFonts w:ascii="Times New Roman" w:hAnsi="Times New Roman" w:eastAsia="Calibri" w:cs="Times New Roman"/>
              </w:rPr>
              <w:t xml:space="preserve">2.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  <w:iCs/>
              </w:rPr>
              <w:t xml:space="preserve">Т</w:t>
            </w:r>
            <w:r>
              <w:rPr>
                <w:rStyle w:val="1140"/>
                <w:iCs/>
              </w:rPr>
              <w:t xml:space="preserve">ребования к продукции</w:t>
            </w:r>
            <w:r>
              <w:rPr>
                <w:rStyle w:val="1140"/>
                <w:iCs/>
                <w:caps/>
              </w:rPr>
            </w:r>
            <w:r>
              <w:tab/>
            </w:r>
            <w:r>
              <w:fldChar w:fldCharType="begin"/>
              <w:instrText xml:space="preserve">PAGEREF _Toc9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4</w:t>
            </w:r>
            <w:r>
              <w:fldChar w:fldCharType="end"/>
            </w:r>
          </w:hyperlink>
          <w:r>
            <w:rPr>
              <w:iCs/>
              <w:caps/>
            </w:rPr>
          </w:r>
          <w:r>
            <w:rPr>
              <w:iCs/>
              <w:caps/>
            </w:rPr>
          </w:r>
        </w:p>
        <w:p>
          <w:pPr>
            <w:pStyle w:val="1151"/>
            <w:tabs>
              <w:tab w:val="left" w:pos="1417" w:leader="none"/>
              <w:tab w:val="right" w:pos="9921" w:leader="dot"/>
            </w:tabs>
          </w:pPr>
          <w:r/>
          <w:hyperlink w:tooltip="#_Toc10" w:anchor="_Toc10" w:history="1">
            <w:r>
              <w:rPr>
                <w:rFonts w:ascii="Times New Roman" w:hAnsi="Times New Roman" w:eastAsia="Calibri" w:cs="Times New Roman"/>
              </w:rPr>
              <w:t xml:space="preserve">2.1.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Требования к объемам и срокам выполнения работ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_Toc10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1139"/>
            <w:tabs>
              <w:tab w:val="left" w:pos="1134" w:leader="none"/>
              <w:tab w:val="right" w:pos="9921" w:leader="dot"/>
            </w:tabs>
          </w:pPr>
          <w:r/>
          <w:hyperlink w:tooltip="#_Toc11" w:anchor="_Toc11" w:history="1">
            <w:r>
              <w:rPr>
                <w:rFonts w:ascii="Times New Roman" w:hAnsi="Times New Roman" w:eastAsia="Calibri" w:cs="Times New Roman"/>
              </w:rPr>
              <w:t xml:space="preserve">2.1.1.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Требования к видам и объемам работ</w:t>
            </w:r>
            <w:r>
              <w:rPr>
                <w:rStyle w:val="1140"/>
              </w:rPr>
              <w:t xml:space="preserve"> </w:t>
            </w:r>
            <w:r>
              <w:rPr>
                <w:rStyle w:val="1140"/>
              </w:rPr>
              <w:t xml:space="preserve">Таблица 2. Перечень и объем выполняемых работ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_Toc11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1139"/>
            <w:tabs>
              <w:tab w:val="left" w:pos="1134" w:leader="none"/>
              <w:tab w:val="right" w:pos="9921" w:leader="dot"/>
            </w:tabs>
          </w:pPr>
          <w:r/>
          <w:hyperlink w:tooltip="#_Toc12" w:anchor="_Toc12" w:history="1">
            <w:r>
              <w:rPr>
                <w:rFonts w:ascii="Times New Roman" w:hAnsi="Times New Roman" w:eastAsia="Calibri" w:cs="Times New Roman"/>
              </w:rPr>
              <w:t xml:space="preserve">2.1.2.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Требования к срокам выполнения работ</w:t>
            </w:r>
            <w:r>
              <w:rPr>
                <w:rStyle w:val="1140"/>
              </w:rPr>
              <w:t xml:space="preserve"> </w:t>
            </w:r>
            <w:r>
              <w:rPr>
                <w:rStyle w:val="1140"/>
              </w:rPr>
              <w:t xml:space="preserve"> Таблица 3. </w:t>
            </w:r>
            <w:r>
              <w:rPr>
                <w:rStyle w:val="1140"/>
              </w:rPr>
              <w:t xml:space="preserve">Требования по срокам </w:t>
            </w:r>
            <w:r>
              <w:rPr>
                <w:rStyle w:val="1140"/>
              </w:rPr>
              <w:t xml:space="preserve">выполнения работ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_Toc12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1151"/>
            <w:tabs>
              <w:tab w:val="left" w:pos="1417" w:leader="none"/>
              <w:tab w:val="right" w:pos="9921" w:leader="dot"/>
            </w:tabs>
          </w:pPr>
          <w:r/>
          <w:hyperlink w:tooltip="#_Toc13" w:anchor="_Toc13" w:history="1">
            <w:r>
              <w:rPr>
                <w:rFonts w:ascii="Times New Roman" w:hAnsi="Times New Roman" w:eastAsia="Calibri" w:cs="Times New Roman"/>
              </w:rPr>
              <w:t xml:space="preserve">2.2.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</w:rPr>
              <w:t xml:space="preserve">Требования к качеству работ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_Toc13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1138"/>
            <w:tabs>
              <w:tab w:val="right" w:pos="9921" w:leader="dot"/>
            </w:tabs>
          </w:pPr>
          <w:r/>
          <w:hyperlink w:tooltip="#_Toc14" w:anchor="_Toc14" w:history="1">
            <w:r>
              <w:rPr>
                <w:rStyle w:val="1140"/>
              </w:rPr>
            </w:r>
            <w:r>
              <w:rPr>
                <w:rStyle w:val="1140"/>
              </w:rPr>
              <w:t xml:space="preserve">Таблица 4. Требования к качеству работ: </w:t>
            </w:r>
            <w:r>
              <w:rPr>
                <w:rStyle w:val="1140"/>
              </w:rPr>
              <w:t xml:space="preserve">ОКПД2  33.12.18.000 Выполнение работ по ремонту кондиционеров СП «ТЭЦ Восточная»,  г. Владивосток»</w:t>
            </w:r>
            <w:r>
              <w:rPr>
                <w:rStyle w:val="1140"/>
              </w:rPr>
            </w:r>
            <w:r>
              <w:tab/>
            </w:r>
            <w:r>
              <w:fldChar w:fldCharType="begin"/>
              <w:instrText xml:space="preserve">PAGEREF _Toc14 \h</w:instrText>
              <w:fldChar w:fldCharType="separate"/>
            </w:r>
            <w:r>
              <w:rPr>
                <w:rStyle w:val="1140"/>
              </w:rPr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1138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</w:rPr>
          </w:pPr>
          <w:r/>
          <w:hyperlink w:tooltip="#_Toc15" w:anchor="_Toc15" w:history="1">
            <w:r>
              <w:rPr>
                <w:rFonts w:ascii="Times New Roman" w:hAnsi="Times New Roman" w:eastAsia="Calibri" w:cs="Times New Roman"/>
              </w:rPr>
              <w:t xml:space="preserve">3.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  <w:rFonts w:ascii="Times New Roman" w:hAnsi="Times New Roman" w:eastAsia="Times New Roman" w:cs="Times New Roman"/>
              </w:rPr>
              <w:t xml:space="preserve">Требования к документации по ценообразованию</w:t>
            </w:r>
            <w:r>
              <w:rPr>
                <w:rStyle w:val="1140"/>
                <w:rFonts w:ascii="Times New Roman" w:hAnsi="Times New Roman" w:eastAsia="Times New Roman" w:cs="Times New Roman"/>
              </w:rPr>
              <w:t xml:space="preserve"> на этапе закупки</w:t>
            </w:r>
            <w:r>
              <w:rPr>
                <w:rStyle w:val="1140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_Toc15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17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38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</w:rPr>
          </w:pPr>
          <w:r/>
          <w:hyperlink w:tooltip="#_Toc16" w:anchor="_Toc16" w:history="1">
            <w:r>
              <w:rPr>
                <w:rFonts w:ascii="Times New Roman" w:hAnsi="Times New Roman" w:eastAsia="Calibri" w:cs="Times New Roman"/>
              </w:rPr>
              <w:t xml:space="preserve">4.</w:t>
            </w:r>
            <w:r>
              <w:tab/>
            </w:r>
            <w:r>
              <w:rPr>
                <w:rStyle w:val="1140"/>
              </w:rPr>
            </w:r>
            <w:r>
              <w:rPr>
                <w:rStyle w:val="1140"/>
                <w:rFonts w:ascii="Times New Roman" w:hAnsi="Times New Roman" w:eastAsia="Times New Roman" w:cs="Times New Roman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Style w:val="1140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_Toc16 \h</w:instrText>
              <w:fldChar w:fldCharType="separate"/>
            </w:r>
            <w:r>
              <w:rPr>
                <w:rFonts w:ascii="Times New Roman" w:hAnsi="Times New Roman" w:eastAsia="Calibri" w:cs="Times New Roman"/>
              </w:rPr>
              <w:t xml:space="preserve">17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38"/>
            <w:tabs>
              <w:tab w:val="right" w:pos="9921" w:leader="dot"/>
            </w:tabs>
            <w:rPr>
              <w:iCs/>
              <w:caps/>
              <w:highlight w:val="white"/>
            </w:rPr>
          </w:pPr>
          <w:r/>
          <w:hyperlink w:tooltip="#_Toc17" w:anchor="_Toc17" w:history="1">
            <w:r>
              <w:rPr>
                <w:rStyle w:val="1140"/>
              </w:rPr>
            </w:r>
            <w:r>
              <w:rPr>
                <w:rStyle w:val="1140"/>
                <w:iCs/>
                <w:highlight w:val="white"/>
              </w:rPr>
              <w:t xml:space="preserve">5. </w:t>
            </w:r>
            <w:r>
              <w:rPr>
                <w:rStyle w:val="1140"/>
                <w:iCs/>
                <w:highlight w:val="white"/>
              </w:rPr>
              <w:t xml:space="preserve">Приложения</w:t>
            </w:r>
            <w:r>
              <w:rPr>
                <w:rStyle w:val="1140"/>
                <w:iCs/>
                <w:caps/>
                <w:highlight w:val="white"/>
              </w:rPr>
            </w:r>
            <w:r>
              <w:tab/>
            </w:r>
            <w:r>
              <w:fldChar w:fldCharType="begin"/>
              <w:instrText xml:space="preserve">PAGEREF _Toc17 \h</w:instrText>
              <w:fldChar w:fldCharType="separate"/>
            </w:r>
            <w:r>
              <w:rPr>
                <w:rStyle w:val="1140"/>
              </w:rPr>
              <w:t xml:space="preserve">17</w:t>
            </w:r>
            <w:r>
              <w:fldChar w:fldCharType="end"/>
            </w:r>
          </w:hyperlink>
          <w:r>
            <w:rPr>
              <w:iCs/>
              <w:caps/>
              <w:highlight w:val="white"/>
            </w:rPr>
          </w:r>
          <w:r>
            <w:rPr>
              <w:iCs/>
              <w:caps/>
              <w:highlight w:val="white"/>
            </w:rPr>
          </w:r>
        </w:p>
        <w:p>
          <w:pPr>
            <w:rPr>
              <w:caps/>
              <w:sz w:val="24"/>
              <w:szCs w:val="24"/>
            </w:rPr>
          </w:pPr>
          <w:r>
            <w:rPr>
              <w:caps/>
              <w:sz w:val="24"/>
              <w:szCs w:val="24"/>
            </w:rPr>
          </w:r>
          <w:r>
            <w:fldChar w:fldCharType="begin"/>
            <w:instrText xml:space="preserve">TOC \o "1-4" \h </w:instrText>
            <w:fldChar w:fldCharType="separate"/>
          </w:r>
          <w:r>
            <w:fldChar w:fldCharType="end"/>
          </w:r>
          <w:r>
            <w:rPr>
              <w:caps/>
              <w:sz w:val="24"/>
              <w:szCs w:val="24"/>
            </w:rPr>
          </w:r>
          <w:r>
            <w:rPr>
              <w:caps/>
              <w:sz w:val="24"/>
              <w:szCs w:val="24"/>
            </w:rPr>
          </w:r>
        </w:p>
      </w:sdtContent>
    </w:sdt>
    <w:p>
      <w:pPr>
        <w:pStyle w:val="959"/>
        <w:rPr>
          <w:b w:val="0"/>
          <w:bCs/>
          <w:i/>
          <w:sz w:val="24"/>
          <w:szCs w:val="24"/>
        </w:rPr>
      </w:pPr>
      <w:r>
        <w:rPr>
          <w:rFonts w:cstheme="majorHAnsi"/>
          <w:b w:val="0"/>
          <w:i/>
          <w:sz w:val="24"/>
          <w:szCs w:val="24"/>
        </w:rPr>
      </w:r>
      <w:r>
        <w:rPr>
          <w:rFonts w:eastAsia="Times New Roman" w:cstheme="majorHAnsi"/>
          <w:b w:val="0"/>
          <w:i/>
          <w:sz w:val="24"/>
          <w:szCs w:val="24"/>
        </w:rPr>
        <w:fldChar w:fldCharType="end"/>
      </w:r>
      <w:r>
        <w:rPr>
          <w:b w:val="0"/>
          <w:bCs/>
          <w:i/>
          <w:sz w:val="24"/>
          <w:szCs w:val="24"/>
        </w:rPr>
      </w:r>
      <w:r>
        <w:rPr>
          <w:b w:val="0"/>
          <w:bCs/>
          <w:i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58"/>
        <w:ind w:left="357" w:hanging="357"/>
        <w:jc w:val="center"/>
        <w:keepLines/>
        <w:rPr>
          <w:caps/>
          <w:sz w:val="24"/>
          <w:szCs w:val="24"/>
        </w:rPr>
      </w:pPr>
      <w:r/>
      <w:bookmarkStart w:id="17" w:name="_Toc1"/>
      <w:r>
        <w:rPr>
          <w:sz w:val="24"/>
          <w:szCs w:val="24"/>
        </w:rPr>
        <w:t xml:space="preserve">Общие сведения</w:t>
      </w:r>
      <w:bookmarkEnd w:id="17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961"/>
        <w:rPr>
          <w:sz w:val="24"/>
          <w:szCs w:val="24"/>
        </w:rPr>
      </w:pPr>
      <w:r/>
      <w:bookmarkStart w:id="18" w:name="_Toc2"/>
      <w:r>
        <w:rPr>
          <w:sz w:val="24"/>
          <w:szCs w:val="24"/>
        </w:rPr>
        <w:t xml:space="preserve">Наименование закупаемой продукции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numPr>
          <w:ilvl w:val="0"/>
          <w:numId w:val="0"/>
        </w:numPr>
        <w:ind w:firstLine="567"/>
        <w:jc w:val="both"/>
        <w:rPr>
          <w:b w:val="0"/>
          <w:bCs w:val="0"/>
          <w:sz w:val="24"/>
          <w:szCs w:val="24"/>
        </w:rPr>
      </w:pPr>
      <w:r/>
      <w:bookmarkStart w:id="19" w:name="_Toc3"/>
      <w:r>
        <w:rPr>
          <w:b w:val="0"/>
          <w:bCs w:val="0"/>
          <w:sz w:val="24"/>
          <w:szCs w:val="24"/>
        </w:rPr>
        <w:t xml:space="preserve">ОКПД2  33.12.18.000 Выполнение работ по ремонту кондиционеров СП «ТЭЦ Восточная», г. Владивосток»</w:t>
      </w:r>
      <w:bookmarkEnd w:id="19"/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1"/>
        <w:rPr>
          <w:bCs w:val="0"/>
          <w:sz w:val="24"/>
          <w:szCs w:val="24"/>
        </w:rPr>
      </w:pPr>
      <w:r/>
      <w:bookmarkStart w:id="20" w:name="_Toc4"/>
      <w:r>
        <w:rPr>
          <w:sz w:val="24"/>
          <w:szCs w:val="24"/>
        </w:rPr>
        <w:t xml:space="preserve">Цель выполнения работ</w:t>
      </w:r>
      <w:bookmarkEnd w:id="20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Повышение надёжности, устранение физического износа, поддержание и улучшение эксплуатационных свойств без изменения функции и технико-экономических показателей </w:t>
      </w:r>
      <w:r>
        <w:rPr>
          <w:b w:val="0"/>
          <w:bCs w:val="0"/>
          <w:sz w:val="24"/>
          <w:szCs w:val="24"/>
        </w:rPr>
        <w:t xml:space="preserve">кондиционеров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rPr>
          <w:bCs w:val="0"/>
          <w:sz w:val="24"/>
          <w:szCs w:val="24"/>
        </w:rPr>
      </w:pPr>
      <w:r/>
      <w:bookmarkStart w:id="21" w:name="_Toc5"/>
      <w:r>
        <w:rPr>
          <w:sz w:val="24"/>
          <w:szCs w:val="24"/>
        </w:rPr>
        <w:t xml:space="preserve">Существующее положение</w:t>
      </w:r>
      <w:bookmarkEnd w:id="21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ТЭЦ Восточная – структурное подразделение АО «Дальневосточная генерирующая компания» (АО «ДГК»), входящее в Группу </w:t>
      </w:r>
      <w:r>
        <w:rPr>
          <w:sz w:val="24"/>
          <w:szCs w:val="24"/>
        </w:rPr>
        <w:t xml:space="preserve">РусГидро</w:t>
      </w:r>
      <w:r>
        <w:rPr>
          <w:sz w:val="24"/>
          <w:szCs w:val="24"/>
        </w:rPr>
        <w:t xml:space="preserve">, действует на территории г. Владивосток.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ТЭЦ Восточная представляет собой тепловую электростанцию с комбинированной выработкой электроэнергии и тепла.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2" w:name="_Toc6"/>
      <w:r>
        <w:rPr>
          <w:sz w:val="24"/>
          <w:szCs w:val="24"/>
        </w:rPr>
        <w:t xml:space="preserve">Таблица 1. Перечень объектов заказчика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726"/>
        <w:gridCol w:w="2126"/>
        <w:gridCol w:w="2835"/>
        <w:gridCol w:w="1414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(место производства работ)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4" w:type="dxa"/>
            <w:vAlign w:val="center"/>
            <w:textDirection w:val="lrTb"/>
            <w:noWrap w:val="false"/>
          </w:tcPr>
          <w:p>
            <w:pPr>
              <w:ind w:left="-142" w:right="-7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726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414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120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170"/>
              <w:numPr>
                <w:ilvl w:val="0"/>
                <w:numId w:val="88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26" w:type="dxa"/>
            <w:vAlign w:val="center"/>
            <w:vMerge w:val="restart"/>
            <w:textDirection w:val="lrTb"/>
            <w:noWrap w:val="false"/>
          </w:tcPr>
          <w:p>
            <w:pPr>
              <w:pStyle w:val="961"/>
              <w:numPr>
                <w:ilvl w:val="0"/>
                <w:numId w:val="0"/>
              </w:numPr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/>
            <w:bookmarkStart w:id="23" w:name="_Toc7"/>
            <w:r>
              <w:rPr>
                <w:b w:val="0"/>
                <w:bCs w:val="0"/>
                <w:sz w:val="24"/>
                <w:szCs w:val="24"/>
              </w:rPr>
              <w:t xml:space="preserve">ОКПД2  33.12.18.000 Выполнение работ по ремонту кондиционеров СП «ТЭЦ Восточная», г. Владивосток»</w:t>
            </w:r>
            <w:bookmarkEnd w:id="23"/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eastAsia="Calibri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  <w:t xml:space="preserve">690074,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«ТЭЦ Восточная» АО «ДГК»,  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г. Владивосток, ул. Снеговая, 22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Кондиционер DAIKIN RR100B8W1B (2 шт.)</w:t>
            </w:r>
            <w:r>
              <w:rPr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sz w:val="24"/>
                <w:szCs w:val="24"/>
                <w:highlight w:val="white"/>
              </w:rPr>
              <w:t xml:space="preserve">Инв.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ПГ000000000000004006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</w:t>
            </w:r>
            <w:r>
              <w:rPr>
                <w:sz w:val="24"/>
                <w:szCs w:val="24"/>
                <w:highlight w:val="white"/>
              </w:rPr>
              <w:t xml:space="preserve">РУСН 6кВ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414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81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pStyle w:val="1170"/>
              <w:numPr>
                <w:ilvl w:val="0"/>
                <w:numId w:val="88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14:ligatures w14:val="none"/>
              </w:rPr>
              <w:t xml:space="preserve">Кондиционер DAIKIN RR125B8W1B (2 шт.), Инв. № ПГ000000000000004006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14:ligatures w14:val="none"/>
              </w:rPr>
            </w:r>
          </w:p>
          <w:p>
            <w:pPr>
              <w:contextualSpacing/>
              <w:ind w:firstLine="0"/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</w:t>
            </w:r>
            <w:r>
              <w:rPr>
                <w:sz w:val="24"/>
                <w:szCs w:val="24"/>
                <w:highlight w:val="white"/>
              </w:rPr>
              <w:t xml:space="preserve">РУСН 6кВ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414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pStyle w:val="1170"/>
              <w:numPr>
                <w:ilvl w:val="0"/>
                <w:numId w:val="88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7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Кондиционер DAIKIN RR125B8W1B (3 шт.), Инв. № </w:t>
            </w:r>
            <w:r>
              <w:rPr>
                <w:sz w:val="24"/>
                <w:szCs w:val="24"/>
                <w:highlight w:val="none"/>
              </w:rPr>
              <w:t xml:space="preserve">ПГ000000000000004142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КРУЭ 110кВ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414" w:type="dxa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1"/>
        <w:ind w:left="0" w:firstLine="0"/>
        <w:rPr>
          <w:sz w:val="24"/>
          <w:szCs w:val="24"/>
        </w:rPr>
      </w:pPr>
      <w:r/>
      <w:bookmarkStart w:id="24" w:name="_Toc8"/>
      <w:r>
        <w:rPr>
          <w:sz w:val="24"/>
          <w:szCs w:val="24"/>
        </w:rPr>
      </w:r>
      <w:bookmarkStart w:id="7" w:name="_Hlk49857604"/>
      <w:r>
        <w:rPr>
          <w:sz w:val="24"/>
          <w:szCs w:val="24"/>
        </w:rPr>
        <w:t xml:space="preserve">Информация в отношении исполнения договора, </w:t>
      </w:r>
      <w:bookmarkStart w:id="9" w:name="_Hlk46492347"/>
      <w:r>
        <w:rPr>
          <w:sz w:val="24"/>
          <w:szCs w:val="24"/>
        </w:rPr>
        <w:t xml:space="preserve">которая должна быть учтена при подготовке заявки </w:t>
      </w:r>
      <w:bookmarkEnd w:id="9"/>
      <w:r>
        <w:rPr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договора).</w:t>
      </w:r>
      <w:bookmarkEnd w:id="7"/>
      <w:r>
        <w:rPr>
          <w:sz w:val="24"/>
          <w:szCs w:val="24"/>
        </w:rPr>
        <w:t xml:space="preserve"> 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1.4.1. После письменного запроса Подрядчика Заказчик предоставляет техническую и иную документацию, содержащую исходные данные для выполнения Подрядчиком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1.4.2. 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58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25" w:name="_Toc9"/>
      <w:r>
        <w:rPr>
          <w:iCs/>
          <w:sz w:val="24"/>
          <w:szCs w:val="24"/>
        </w:rPr>
        <w:t xml:space="preserve">Т</w:t>
      </w:r>
      <w:r>
        <w:rPr>
          <w:iCs/>
          <w:sz w:val="24"/>
          <w:szCs w:val="24"/>
        </w:rPr>
        <w:t xml:space="preserve">ребования к продукции</w:t>
      </w:r>
      <w:bookmarkEnd w:id="25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961"/>
        <w:rPr>
          <w:sz w:val="24"/>
          <w:szCs w:val="24"/>
        </w:rPr>
      </w:pPr>
      <w:r/>
      <w:bookmarkStart w:id="26" w:name="_Toc10"/>
      <w:r>
        <w:rPr>
          <w:sz w:val="24"/>
          <w:szCs w:val="24"/>
        </w:rPr>
        <w:t xml:space="preserve">Требования к объемам и срокам выполнения работ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contextualSpacing/>
        <w:ind w:left="709" w:right="0" w:firstLine="11"/>
        <w:rPr>
          <w:sz w:val="24"/>
          <w:szCs w:val="24"/>
        </w:rPr>
      </w:pPr>
      <w:r/>
      <w:bookmarkStart w:id="27" w:name="_Toc11"/>
      <w:r>
        <w:rPr>
          <w:sz w:val="24"/>
          <w:szCs w:val="24"/>
        </w:rPr>
        <w:t xml:space="preserve">Требования к видам и объемам работ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Таблица 2. Перечень и объем выполняемых работ</w:t>
      </w:r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9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24"/>
        <w:gridCol w:w="2551"/>
        <w:gridCol w:w="1584"/>
      </w:tblGrid>
      <w:tr>
        <w:tblPrEx/>
        <w:trPr/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2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8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482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158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99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6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482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ОКПД2  33.12.18.000 Выполнение работ по ремонту кондиционеров СП «ТЭЦ Восточная», г. Владивосток»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3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соответствии с ведомостью объемов работ (Приложение №1 к настоящим ТТ)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contextualSpacing/>
        <w:ind w:left="709" w:right="0" w:firstLine="11"/>
        <w:rPr>
          <w:sz w:val="24"/>
          <w:szCs w:val="24"/>
        </w:rPr>
      </w:pPr>
      <w:r/>
      <w:bookmarkStart w:id="28" w:name="_Toc12"/>
      <w:r>
        <w:rPr>
          <w:sz w:val="24"/>
          <w:szCs w:val="24"/>
        </w:rPr>
        <w:t xml:space="preserve">Требования к срокам выполнения работ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 Таблица 3. </w:t>
      </w:r>
      <w:bookmarkStart w:id="16" w:name="_Hlk50465284"/>
      <w:r>
        <w:rPr>
          <w:sz w:val="24"/>
          <w:szCs w:val="24"/>
        </w:rPr>
        <w:t xml:space="preserve">Требования по срокам </w:t>
      </w:r>
      <w:bookmarkEnd w:id="16"/>
      <w:r>
        <w:rPr>
          <w:sz w:val="24"/>
          <w:szCs w:val="24"/>
        </w:rPr>
        <w:t xml:space="preserve">выполнения работ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976"/>
        <w:gridCol w:w="2976"/>
      </w:tblGrid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5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1199"/>
              <w:jc w:val="center"/>
              <w:keepNext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1199"/>
              <w:jc w:val="center"/>
              <w:keepNext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1248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</w:r>
            <w:r>
              <w:rPr>
                <w:sz w:val="24"/>
                <w:szCs w:val="24"/>
                <w:highlight w:val="white"/>
              </w:rPr>
              <w:t xml:space="preserve">Выполнение работ по ремонту </w:t>
            </w:r>
            <w:r>
              <w:rPr>
                <w:sz w:val="24"/>
                <w:szCs w:val="24"/>
                <w:highlight w:val="white"/>
              </w:rPr>
              <w:t xml:space="preserve">кондиционеров СП «ТЭЦ Восточная», г. Владивосток»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  <w:highlight w:val="white"/>
              </w:rPr>
              <w:t xml:space="preserve"> в течение 3</w:t>
            </w:r>
            <w:r>
              <w:rPr>
                <w:sz w:val="24"/>
                <w:szCs w:val="24"/>
                <w:highlight w:val="white"/>
              </w:rPr>
              <w:t xml:space="preserve"> месяцев с даты заключения Договора.</w:t>
            </w:r>
            <w:r>
              <w:rPr>
                <w:sz w:val="24"/>
                <w:szCs w:val="24"/>
                <w:highlight w:val="white"/>
              </w:rPr>
            </w:r>
            <w:r/>
          </w:p>
        </w:tc>
      </w:tr>
      <w:tr>
        <w:tblPrEx/>
        <w:trPr/>
        <w:tc>
          <w:tcPr>
            <w:gridSpan w:val="4"/>
            <w:shd w:val="clear" w:color="auto" w:fill="auto"/>
            <w:tcW w:w="1006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Примечание:</w:t>
            </w:r>
            <w:r>
              <w:rPr>
                <w:sz w:val="24"/>
                <w:szCs w:val="24"/>
                <w:highlight w:val="white"/>
              </w:rPr>
              <w:t xml:space="preserve"> Ра</w:t>
            </w:r>
            <w:r>
              <w:rPr>
                <w:sz w:val="24"/>
                <w:szCs w:val="24"/>
                <w:highlight w:val="white"/>
              </w:rPr>
              <w:t xml:space="preserve">боты по договору выполняются в соответствии с календарным </w:t>
            </w:r>
            <w:r>
              <w:rPr>
                <w:sz w:val="24"/>
                <w:szCs w:val="24"/>
                <w:highlight w:val="white"/>
              </w:rPr>
              <w:t xml:space="preserve">графиком выполнения ра</w:t>
            </w:r>
            <w:r>
              <w:rPr>
                <w:sz w:val="24"/>
                <w:szCs w:val="24"/>
                <w:highlight w:val="white"/>
              </w:rPr>
              <w:t xml:space="preserve">бот (</w:t>
            </w:r>
            <w:r>
              <w:rPr>
                <w:sz w:val="24"/>
                <w:szCs w:val="24"/>
                <w:highlight w:val="white"/>
              </w:rPr>
              <w:t xml:space="preserve">Приложение № 3</w:t>
            </w:r>
            <w:r>
              <w:rPr>
                <w:sz w:val="24"/>
                <w:szCs w:val="24"/>
                <w:highlight w:val="white"/>
              </w:rPr>
              <w:t xml:space="preserve"> к Проекту договора,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Документации о закупке (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На этапе месячного планирования, Заказчик на основании  </w:t>
            </w:r>
            <w:r>
              <w:rPr>
                <w:sz w:val="24"/>
                <w:szCs w:val="24"/>
                <w:highlight w:val="white"/>
              </w:rPr>
              <w:t xml:space="preserve">календарн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графика </w:t>
            </w:r>
            <w:r>
              <w:rPr>
                <w:sz w:val="24"/>
                <w:szCs w:val="24"/>
                <w:highlight w:val="white"/>
              </w:rPr>
              <w:t xml:space="preserve">(</w:t>
            </w:r>
            <w:r>
              <w:rPr>
                <w:sz w:val="24"/>
                <w:szCs w:val="24"/>
                <w:highlight w:val="white"/>
              </w:rPr>
              <w:t xml:space="preserve">Приложение № 3</w:t>
            </w:r>
            <w:r>
              <w:rPr>
                <w:sz w:val="24"/>
                <w:szCs w:val="24"/>
                <w:highlight w:val="white"/>
              </w:rPr>
              <w:t xml:space="preserve"> к Проекту договора,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разрабатывает и предоставляет Подрядчику план работы на предстоящий месяц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10"/>
          <w:headerReference w:type="even" r:id="rId11"/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61"/>
        <w:rPr>
          <w:sz w:val="24"/>
          <w:szCs w:val="24"/>
        </w:rPr>
      </w:pPr>
      <w:r/>
      <w:bookmarkStart w:id="29" w:name="_Toc13"/>
      <w:r>
        <w:rPr>
          <w:sz w:val="24"/>
          <w:szCs w:val="24"/>
        </w:rPr>
        <w:t xml:space="preserve">Требования к качеству работ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0" w:name="_Toc14"/>
      <w:r>
        <w:rPr>
          <w:sz w:val="24"/>
          <w:szCs w:val="24"/>
        </w:rPr>
        <w:t xml:space="preserve">Таблица 4. Требования к качеству работ: </w:t>
      </w:r>
      <w:r>
        <w:rPr>
          <w:sz w:val="24"/>
          <w:szCs w:val="24"/>
        </w:rPr>
        <w:t xml:space="preserve">ОКПД2  33.12.18.000 Выполнение работ по ремонту кондиционеров СП «ТЭЦ Восточная», </w:t>
        <w:br/>
        <w:t xml:space="preserve">г. Владивосток»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27"/>
        <w:tblpPr w:horzAnchor="text" w:tblpXSpec="left" w:vertAnchor="text" w:tblpY="1" w:leftFromText="180" w:topFromText="0" w:rightFromText="180" w:bottomFromText="0"/>
        <w:tblW w:w="15024" w:type="dxa"/>
        <w:tblLayout w:type="fixed"/>
        <w:tblLook w:val="04A0" w:firstRow="1" w:lastRow="0" w:firstColumn="1" w:lastColumn="0" w:noHBand="0" w:noVBand="1"/>
      </w:tblPr>
      <w:tblGrid>
        <w:gridCol w:w="851"/>
        <w:gridCol w:w="1759"/>
        <w:gridCol w:w="1"/>
        <w:gridCol w:w="792"/>
        <w:gridCol w:w="2551"/>
        <w:gridCol w:w="3969"/>
        <w:gridCol w:w="2551"/>
        <w:gridCol w:w="255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ind w:left="0" w:right="-75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5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textDirection w:val="lrTb"/>
            <w:noWrap w:val="false"/>
          </w:tcPr>
          <w:p>
            <w:pPr>
              <w:ind w:left="0" w:firstLine="0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tabs>
                <w:tab w:val="left" w:pos="14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СТО 70238424.27.100.006-2008.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Правила</w:t>
            </w:r>
            <w:r>
              <w:rPr>
                <w:sz w:val="24"/>
                <w:szCs w:val="24"/>
                <w:highlight w:val="white"/>
              </w:rPr>
              <w:t xml:space="preserve"> технической эксплуатации электрических станций и сетей Российской Федерации </w:t>
            </w:r>
            <w:r>
              <w:rPr>
                <w:sz w:val="24"/>
                <w:szCs w:val="24"/>
                <w:highlight w:val="white"/>
              </w:rPr>
              <w:t xml:space="preserve">и о внесении изменений в приказы Минэнерго России от 13 сентября 2018 г. № 757, от 12 июля 2018 </w:t>
            </w:r>
            <w:r>
              <w:rPr>
                <w:sz w:val="24"/>
                <w:szCs w:val="24"/>
                <w:highlight w:val="white"/>
              </w:rPr>
              <w:t xml:space="preserve">г. № 548»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(утв. </w:t>
            </w:r>
            <w:r>
              <w:rPr>
                <w:sz w:val="24"/>
                <w:szCs w:val="24"/>
                <w:highlight w:val="white"/>
              </w:rPr>
              <w:t xml:space="preserve">Приказом Министерства энергетики РФ от 4 октября 2022 г. № 1070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Правила организации техничес</w:t>
            </w:r>
            <w:r>
              <w:rPr>
                <w:sz w:val="24"/>
                <w:szCs w:val="24"/>
                <w:highlight w:val="white"/>
              </w:rPr>
              <w:t xml:space="preserve">кого обслуживания и ремонта объектов электроэнергетики (</w:t>
            </w:r>
            <w:r>
              <w:rPr>
                <w:sz w:val="24"/>
                <w:szCs w:val="24"/>
                <w:highlight w:val="white"/>
              </w:rPr>
              <w:t xml:space="preserve">утв. </w:t>
            </w:r>
            <w:r>
              <w:rPr>
                <w:sz w:val="24"/>
                <w:szCs w:val="24"/>
                <w:highlight w:val="white"/>
              </w:rPr>
              <w:t xml:space="preserve">Приказом</w:t>
            </w:r>
            <w:r>
              <w:rPr>
                <w:sz w:val="24"/>
                <w:szCs w:val="24"/>
                <w:highlight w:val="white"/>
              </w:rPr>
              <w:t xml:space="preserve"> Министерства энергетики РФ от 25 октября 2017 г. № 1013).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Инструкции завода-изготовителя оборудования, </w:t>
            </w:r>
            <w:r>
              <w:rPr>
                <w:sz w:val="24"/>
                <w:szCs w:val="24"/>
                <w:highlight w:val="white"/>
              </w:rPr>
              <w:t xml:space="preserve">Технические условия, технологические карты, п</w:t>
            </w:r>
            <w:r>
              <w:rPr>
                <w:sz w:val="24"/>
                <w:szCs w:val="24"/>
                <w:highlight w:val="white"/>
              </w:rPr>
              <w:t xml:space="preserve">роизводственные инструкции и</w:t>
            </w:r>
            <w:r>
              <w:rPr>
                <w:sz w:val="24"/>
                <w:szCs w:val="24"/>
                <w:highlight w:val="white"/>
              </w:rPr>
              <w:t xml:space="preserve"> и проекты производства рабо</w:t>
            </w:r>
            <w:r>
              <w:rPr>
                <w:sz w:val="24"/>
                <w:szCs w:val="24"/>
                <w:highlight w:val="white"/>
              </w:rPr>
              <w:t xml:space="preserve">т, другие действующие руководящие документы.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231"/>
              <w:ind w:left="0" w:right="0" w:firstLine="425"/>
              <w:jc w:val="both"/>
              <w:spacing w:line="264" w:lineRule="auto"/>
              <w:tabs>
                <w:tab w:val="left" w:pos="850" w:leader="none"/>
                <w:tab w:val="left" w:pos="226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95"/>
              <w:jc w:val="left"/>
              <w:keepNext w:val="0"/>
              <w:spacing w:before="0"/>
              <w:rPr>
                <w:rFonts w:eastAsia="Times New Roman"/>
                <w:bCs/>
                <w:sz w:val="24"/>
                <w:szCs w:val="24"/>
              </w:rPr>
              <w:outlineLvl w:val="2"/>
            </w:pPr>
            <w:r>
              <w:rPr>
                <w:rFonts w:eastAsia="Times New Roman"/>
                <w:bCs/>
                <w:sz w:val="24"/>
                <w:szCs w:val="24"/>
              </w:rPr>
            </w:r>
            <w:r>
              <w:rPr>
                <w:rFonts w:eastAsia="Times New Roman"/>
                <w:bCs/>
                <w:sz w:val="24"/>
                <w:szCs w:val="24"/>
              </w:rPr>
            </w:r>
            <w:r>
              <w:rPr>
                <w:rFonts w:eastAsia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textDirection w:val="lrTb"/>
            <w:noWrap w:val="false"/>
          </w:tcPr>
          <w:p>
            <w:pPr>
              <w:ind w:left="0" w:right="0"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</w:t>
            </w:r>
            <w:r>
              <w:rPr>
                <w:sz w:val="24"/>
                <w:szCs w:val="24"/>
                <w:highlight w:val="white"/>
              </w:rPr>
              <w:t xml:space="preserve">омплекс организационно–технических мероприятий указан в Положении Об организации и выполнению технического обслуживания  и ремонта оборудования АО «ДГК» 21-002-2019 (приказ АО «ДГК» от 29.11.2019 № 555) Приложение № 5 к настоящим ТТ. выполняемый при подгот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отремонтированного оборудования, оптимальное расходование материально-технических и трудовые ресурсов. Подрядчик разр</w:t>
            </w:r>
            <w:r>
              <w:rPr>
                <w:sz w:val="24"/>
                <w:szCs w:val="24"/>
                <w:highlight w:val="white"/>
              </w:rPr>
              <w:t xml:space="preserve">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Изменения объемов работ, предусмотренных ведомостью планируемых работ, оформляются в соответствии с требованиями </w:t>
            </w:r>
            <w:r>
              <w:rPr>
                <w:sz w:val="24"/>
                <w:szCs w:val="24"/>
                <w:highlight w:val="white"/>
              </w:rPr>
              <w:t xml:space="preserve">Положения </w:t>
            </w:r>
            <w:r>
              <w:rPr>
                <w:sz w:val="24"/>
                <w:szCs w:val="24"/>
                <w:highlight w:val="white"/>
              </w:rPr>
              <w:t xml:space="preserve">ТОиР - </w:t>
            </w:r>
            <w:r>
              <w:rPr>
                <w:sz w:val="24"/>
                <w:szCs w:val="24"/>
                <w:highlight w:val="white"/>
              </w:rPr>
              <w:t xml:space="preserve">Приложение № 5 к настоящим ТТ</w:t>
            </w:r>
            <w:r>
              <w:rPr>
                <w:sz w:val="24"/>
                <w:szCs w:val="24"/>
                <w:highlight w:val="white"/>
              </w:rPr>
              <w:t xml:space="preserve"> (ведомостью дополнительных работ по ремонту и протоколом исключения работ из ведомости планируем</w:t>
            </w:r>
            <w:r>
              <w:rPr>
                <w:sz w:val="24"/>
                <w:szCs w:val="24"/>
                <w:highlight w:val="white"/>
              </w:rPr>
              <w:t xml:space="preserve">ых работ по ремонту), согласовываются с исполнителями и утверждаются </w:t>
            </w:r>
            <w:r>
              <w:rPr>
                <w:sz w:val="24"/>
                <w:szCs w:val="24"/>
                <w:highlight w:val="white"/>
              </w:rPr>
              <w:t xml:space="preserve">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</w:t>
            </w:r>
            <w:r>
              <w:rPr>
                <w:sz w:val="24"/>
                <w:szCs w:val="24"/>
                <w:highlight w:val="white"/>
              </w:rPr>
              <w:t xml:space="preserve">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На этапе месячного планирования, Заказчик на основании к</w:t>
            </w:r>
            <w:r>
              <w:rPr>
                <w:sz w:val="24"/>
                <w:szCs w:val="24"/>
              </w:rPr>
              <w:t xml:space="preserve">алендарного графика выполнения работ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</w:t>
            </w:r>
            <w:r>
              <w:rPr>
                <w:sz w:val="24"/>
                <w:szCs w:val="24"/>
                <w:highlight w:val="white"/>
              </w:rPr>
              <w:t xml:space="preserve">Приложение № 3</w:t>
            </w:r>
            <w:r>
              <w:rPr>
                <w:sz w:val="24"/>
                <w:szCs w:val="24"/>
                <w:highlight w:val="white"/>
              </w:rPr>
              <w:t xml:space="preserve"> к Проекту договора,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</w:rPr>
              <w:t xml:space="preserve"> разрабатывает и предоставляет Подрядчику план работы на предстоящий месяц.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Подрядчик отражает фактические выполненные работы по ремонту оборудования в «Журнале выдачи заданий и учёта выполненных работ</w:t>
            </w:r>
            <w:r>
              <w:rPr>
                <w:sz w:val="24"/>
                <w:szCs w:val="24"/>
              </w:rPr>
              <w:t xml:space="preserve"> подрядных организаций».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spacing w:before="60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До начала ремонта Подрядчик: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</w:rPr>
              <w:t xml:space="preserve">предоставляет на согласование Заказчику график выполнения работ, проект производства работ, </w:t>
            </w:r>
            <w:r>
              <w:rPr>
                <w:bCs/>
                <w:sz w:val="24"/>
                <w:szCs w:val="24"/>
              </w:rPr>
              <w:t xml:space="preserve">технологические карты</w:t>
            </w:r>
            <w:r>
              <w:rPr>
                <w:bCs/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проводит проверку выполнения подготовительных работ в соответствии с планом подготовки к ремонту;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определяет состав бригад (участков) по ремонту отдельных узлов (систем) оборудования по численности, кв</w:t>
            </w:r>
            <w:r>
              <w:rPr>
                <w:sz w:val="24"/>
                <w:szCs w:val="24"/>
                <w:highlight w:val="white"/>
              </w:rPr>
              <w:t xml:space="preserve">алификации и профессиям в соответствии с сетевым графиком ремонта. При этом должна быть обеспечена полная занятость рабочих в течение установленных графиком сроков производства работ;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назначает руководителей работ по ремонту отдельных видов оборудования в </w:t>
            </w:r>
            <w:r>
              <w:rPr>
                <w:sz w:val="24"/>
                <w:szCs w:val="24"/>
                <w:highlight w:val="white"/>
              </w:rPr>
              <w:t xml:space="preserve">соответствии с номенклатурой и объемом работ, принятым по договору;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назначает лиц, ответственных за соблюдение норм и правил в области охраны труда, электробезопасности, обращения с отходами, пожарной и промышленной безопасности и материально–техническое о</w:t>
            </w:r>
            <w:r>
              <w:rPr>
                <w:sz w:val="24"/>
                <w:szCs w:val="24"/>
                <w:highlight w:val="white"/>
              </w:rPr>
              <w:t xml:space="preserve">беспечение;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проверяет выполнение требований допуска ремонтного и командированного персонала, пр</w:t>
            </w:r>
            <w:r>
              <w:rPr>
                <w:sz w:val="24"/>
                <w:szCs w:val="24"/>
                <w:highlight w:val="white"/>
              </w:rPr>
              <w:t xml:space="preserve">едусмотренного п. 1.2.2 настоящих ТТ.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70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качества применяемых материалов, проводят оперативный к</w:t>
            </w:r>
            <w:r>
              <w:rPr>
                <w:sz w:val="24"/>
                <w:szCs w:val="24"/>
                <w:highlight w:val="white"/>
              </w:rPr>
              <w:t xml:space="preserve">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pStyle w:val="1195"/>
              <w:jc w:val="left"/>
              <w:keepNext w:val="0"/>
              <w:rPr>
                <w:rFonts w:eastAsia="Times New Roman"/>
                <w:b w:val="0"/>
                <w:bCs/>
                <w:i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bCs/>
                <w:i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i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i/>
                <w:sz w:val="24"/>
                <w:szCs w:val="24"/>
              </w:rPr>
            </w:r>
          </w:p>
          <w:p>
            <w:pPr>
              <w:pStyle w:val="1195"/>
              <w:jc w:val="left"/>
              <w:keepNext w:val="0"/>
              <w:rPr>
                <w:rFonts w:eastAsia="Times New Roman"/>
                <w:b w:val="0"/>
                <w:bCs/>
                <w:i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bCs/>
                <w:i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i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6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1.2.2.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Организационно-технические мероприятия по допуску персонала подрядчика.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  <w14:ligatures w14:val="none"/>
              </w:rPr>
            </w:pPr>
            <w:r>
              <w:rPr>
                <w:sz w:val="24"/>
                <w:szCs w:val="24"/>
                <w:highlight w:val="white"/>
              </w:rPr>
              <w:t xml:space="preserve">Допуск персонала подрядчика для выполнения работ </w:t>
            </w:r>
            <w:r>
              <w:rPr>
                <w:sz w:val="24"/>
                <w:szCs w:val="24"/>
                <w:highlight w:val="white"/>
              </w:rPr>
              <w:t xml:space="preserve">должен осуществляться в соответствии с:</w:t>
            </w:r>
            <w:r>
              <w:rPr>
                <w:sz w:val="24"/>
                <w:szCs w:val="24"/>
                <w:highlight w:val="white"/>
                <w14:ligatures w14:val="none"/>
              </w:rPr>
            </w:r>
            <w:r>
              <w:rPr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70"/>
              <w:numPr>
                <w:ilvl w:val="0"/>
                <w:numId w:val="55"/>
              </w:numPr>
              <w:ind w:left="0" w:firstLine="360"/>
              <w:jc w:val="both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положением о допуске персонала подрядн</w:t>
            </w:r>
            <w:r>
              <w:rPr>
                <w:sz w:val="24"/>
                <w:szCs w:val="24"/>
                <w:highlight w:val="white"/>
              </w:rPr>
              <w:t xml:space="preserve">ых организаций к выполнению работ на объектах АО «ДГК» №22.1-504-2025 (утв. приказом АО «ДГК» №П-ДГК/795 от 25.09.2025г.). Приложение № 5 к настоящим ТТ.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0"/>
              <w:numPr>
                <w:ilvl w:val="0"/>
                <w:numId w:val="55"/>
              </w:numPr>
              <w:ind w:left="0" w:firstLine="360"/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нструкцией о пропускном и внутриобъектовом режимах на охраняемой территории СП «ТЭЦ Восточная» АО «ДГК», с обязательным оформлением необходимых нарядов-допусков </w:t>
            </w:r>
            <w:r>
              <w:rPr>
                <w:sz w:val="24"/>
                <w:szCs w:val="24"/>
                <w:highlight w:val="white"/>
              </w:rPr>
              <w:t xml:space="preserve">(утв. приказом ТЭЦ «Восточная» АО «ДГК» №26А от 24.01.2025 г.). </w:t>
            </w:r>
            <w:r>
              <w:rPr>
                <w:sz w:val="24"/>
                <w:szCs w:val="24"/>
                <w:highlight w:val="white"/>
              </w:rPr>
              <w:t xml:space="preserve">Приложение № 5 к настоящим ТТ.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используемым МТР, контролю качества работ и МТР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 xml:space="preserve">используемым материально – техническим ресурсам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Материалы, необходимые для выполнения работ приобретаются </w:t>
            </w:r>
            <w:r>
              <w:rPr>
                <w:sz w:val="24"/>
                <w:szCs w:val="24"/>
                <w:highlight w:val="white"/>
              </w:rPr>
              <w:t xml:space="preserve">Подрядчиком в соответствии с Приложением № 4 к </w:t>
            </w:r>
            <w:r>
              <w:rPr>
                <w:sz w:val="24"/>
                <w:szCs w:val="24"/>
                <w:highlight w:val="white"/>
              </w:rPr>
              <w:t xml:space="preserve">настоящим ТТ</w:t>
            </w:r>
            <w:r>
              <w:rPr>
                <w:sz w:val="24"/>
                <w:szCs w:val="24"/>
                <w:highlight w:val="white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Подрядчик обеспечивают выполнение работ по Договору необходимыми для  этого материалами и запасными частями.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Приобретаемые мате</w:t>
            </w:r>
            <w:r>
              <w:rPr>
                <w:sz w:val="24"/>
                <w:szCs w:val="24"/>
                <w:highlight w:val="white"/>
              </w:rPr>
              <w:t xml:space="preserve">риалы и запасные части должны иметь соответствующие сертификаты, технические паспорта и другие документы, удостоверяющие их качество.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Стоимость материалов</w:t>
            </w:r>
            <w:r>
              <w:rPr>
                <w:sz w:val="24"/>
                <w:szCs w:val="24"/>
                <w:highlight w:val="white"/>
              </w:rPr>
              <w:t xml:space="preserve">, определяемых по текущим ценам, согласовывается с заказчиком до момента их приобретения с подтверждением обоснования стоимости данными конъюнктурного анализа от трех поставщиков.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/>
          </w:p>
          <w:p>
            <w:r>
              <w:rPr>
                <w:i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контролю качества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textDirection w:val="lrTb"/>
            <w:noWrap w:val="false"/>
          </w:tcPr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 соответствии с законом № 184-ФЗ «О техническом регулировании» Подрядчик принимает на себя добровольное обязательство о</w:t>
            </w:r>
            <w:r>
              <w:rPr>
                <w:sz w:val="24"/>
                <w:szCs w:val="24"/>
                <w:highlight w:val="white"/>
              </w:rPr>
      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Руководители работ Подрядчика, участвующие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</w:t>
            </w:r>
            <w:r>
              <w:rPr>
                <w:sz w:val="24"/>
                <w:szCs w:val="24"/>
                <w:highlight w:val="white"/>
              </w:rPr>
              <w:t xml:space="preserve">оснастки, приспособлений и инструмента).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 может 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работ, соблюдением сроков и качес</w:t>
            </w:r>
            <w:r>
              <w:rPr>
                <w:sz w:val="24"/>
                <w:szCs w:val="24"/>
                <w:highlight w:val="white"/>
              </w:rPr>
              <w:t xml:space="preserve">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pStyle w:val="1170"/>
              <w:ind w:left="0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pStyle w:val="117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требования к Подрядчику.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425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Квалификация персонала д</w:t>
            </w:r>
            <w:r>
              <w:rPr>
                <w:sz w:val="24"/>
                <w:szCs w:val="24"/>
                <w:highlight w:val="white"/>
              </w:rPr>
              <w:t xml:space="preserve">олжна соответствовать ви</w:t>
            </w:r>
            <w:r>
              <w:rPr>
                <w:sz w:val="24"/>
                <w:szCs w:val="24"/>
                <w:highlight w:val="white"/>
              </w:rPr>
              <w:t xml:space="preserve">дам выполняемых работ и располагать: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992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</w:t>
            </w:r>
            <w:r>
              <w:rPr>
                <w:sz w:val="24"/>
                <w:szCs w:val="24"/>
                <w:highlight w:val="white"/>
              </w:rPr>
              <w:t xml:space="preserve">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sz w:val="24"/>
                <w:szCs w:val="24"/>
                <w:highlight w:val="white"/>
              </w:rPr>
              <w:t xml:space="preserve">, а именно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Подрядчик должен иметь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в наличии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прошедших проверку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знаний требований охраны труда включая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требования по охране труда при работе  с инструментом и приспособлениями.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4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sz w:val="24"/>
                <w:szCs w:val="24"/>
                <w:highlight w:val="white"/>
              </w:rPr>
              <w:t xml:space="preserve">Подрядчик должен иметь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обладающих допуском работ на высоте.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4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Подтверждается: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4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по Наряду-допуску.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4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окументами, подтверждающие проверку знаний требований охраны труда при работе с инструментом и приспособлениями, обученных лиц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выполнять работы по Наряду-допуску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425"/>
              <w:jc w:val="both"/>
              <w:tabs>
                <w:tab w:val="left" w:pos="142" w:leader="none"/>
                <w:tab w:val="left" w:pos="28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окументами,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подтверждающие получение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профессионального образования (обучении) и (или) о квалификации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подтверждающие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наличие допуска к работе на высоте у производителя и членов бригады (не ниже 2 группы), и руководителя работ (не ниже 3 группы)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безопасности выполняемых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Merge w:val="restart"/>
            <w:textDirection w:val="lrTb"/>
            <w:noWrap w:val="false"/>
          </w:tcPr>
          <w:p>
            <w:pPr>
              <w:ind w:left="0" w:firstLine="0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Федеральный закон от 21 июля 1997 г. № 116-ФЗ «О промышленной безопасности опасных производственных объектов»;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Ростехнадзора от 26 ноября 2020 г. № 461 ).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  <w:t xml:space="preserve">Подрядчик должен знакомить персонал, направляемый для выполнения работ на объектах Заказчика с Памяткой об обязанности и ответственности работн</w:t>
            </w:r>
            <w:r>
              <w:rPr>
                <w:sz w:val="24"/>
                <w:szCs w:val="24"/>
                <w:highlight w:val="white"/>
              </w:rPr>
              <w:t xml:space="preserve">ика при выполнении работ, нахождении на территории энергообъекта АО «ДГК» (</w:t>
            </w:r>
            <w:r>
              <w:rPr>
                <w:sz w:val="24"/>
                <w:szCs w:val="24"/>
                <w:highlight w:val="white"/>
              </w:rPr>
              <w:t xml:space="preserve">Приложение № 9</w:t>
            </w:r>
            <w:r>
              <w:rPr>
                <w:sz w:val="24"/>
                <w:szCs w:val="24"/>
                <w:highlight w:val="white"/>
              </w:rPr>
              <w:t xml:space="preserve"> к Проекту договора, который является приложением к ДоЗ</w:t>
            </w:r>
            <w:r>
              <w:rPr>
                <w:sz w:val="24"/>
                <w:szCs w:val="24"/>
                <w:highlight w:val="white"/>
              </w:rPr>
              <w:t xml:space="preserve">) под роспись. Копию Памятки с ознакомлением работников под роспись, Подрядчик представляет в службу охраны труда</w:t>
            </w:r>
            <w:r>
              <w:rPr>
                <w:sz w:val="24"/>
                <w:szCs w:val="24"/>
                <w:highlight w:val="white"/>
              </w:rPr>
              <w:t xml:space="preserve"> Заказчика перед проведением вводного инструктажа на объектах.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142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Подрядчик обязан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требований к пожарной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Merge w:val="restart"/>
            <w:textDirection w:val="lrTb"/>
            <w:noWrap w:val="false"/>
          </w:tcPr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shd w:val="clear" w:color="auto" w:fill="ffffff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№123-ФЗ от 22.07.2008 «Технический регламент о требованиях пожарной безопасности»;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shd w:val="clear" w:color="auto" w:fill="ffffff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rFonts w:eastAsia="Courier New"/>
                <w:color w:val="000000"/>
                <w:sz w:val="24"/>
                <w:szCs w:val="24"/>
                <w:highlight w:val="none"/>
                <w:lang w:bidi="ru-RU"/>
              </w:rPr>
            </w:pPr>
            <w:r>
              <w:rPr>
                <w:sz w:val="24"/>
                <w:szCs w:val="24"/>
              </w:rPr>
            </w:r>
            <w:r>
              <w:rPr>
                <w:rFonts w:eastAsia="Courier New"/>
                <w:color w:val="000000"/>
                <w:sz w:val="24"/>
                <w:szCs w:val="24"/>
                <w:highlight w:val="none"/>
                <w:lang w:bidi="ru-RU"/>
              </w:rPr>
              <w:t xml:space="preserve">РД-153-34.0-03.301-00 </w:t>
            </w:r>
            <w:r>
              <w:rPr>
                <w:rFonts w:eastAsia="Courier New"/>
                <w:color w:val="000000"/>
                <w:sz w:val="24"/>
                <w:szCs w:val="24"/>
                <w:highlight w:val="none"/>
                <w:lang w:bidi="ru-RU"/>
              </w:rPr>
              <w:t xml:space="preserve">(ВППБ 01-02-95*) </w:t>
            </w:r>
            <w:r>
              <w:rPr>
                <w:rFonts w:eastAsia="Courier New"/>
                <w:color w:val="000000"/>
                <w:sz w:val="24"/>
                <w:szCs w:val="24"/>
                <w:highlight w:val="none"/>
                <w:lang w:bidi="ru-RU"/>
              </w:rPr>
              <w:t xml:space="preserve">Правила пожарной безопасности для энергетических предприятий;</w:t>
            </w:r>
            <w:r>
              <w:rPr>
                <w:rFonts w:eastAsia="Courier New"/>
                <w:color w:val="000000"/>
                <w:sz w:val="24"/>
                <w:szCs w:val="24"/>
                <w:highlight w:val="none"/>
                <w:lang w:bidi="ru-RU"/>
              </w:rPr>
            </w:r>
            <w:r>
              <w:rPr>
                <w:rFonts w:eastAsia="Courier New"/>
                <w:color w:val="000000"/>
                <w:sz w:val="24"/>
                <w:szCs w:val="24"/>
                <w:highlight w:val="none"/>
                <w:lang w:bidi="ru-RU"/>
              </w:rPr>
            </w:r>
          </w:p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 12.1.004-91* Система стандартов безопасности труда. Пожарная безопасность. Общ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ие требования.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Приказом по организации должно быть назначено лицо, ответственное за соблюдение тре</w:t>
            </w:r>
            <w:r>
              <w:rPr>
                <w:sz w:val="24"/>
                <w:szCs w:val="24"/>
                <w:highlight w:val="white"/>
              </w:rPr>
              <w:t xml:space="preserve">бований пожарной безопасности в местах производства работ.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 </w:t>
            </w:r>
            <w:r>
              <w:rPr>
                <w:sz w:val="24"/>
                <w:szCs w:val="24"/>
              </w:rPr>
              <w:t xml:space="preserve">Место производства работ должно быть оснащено средствами пожаротушения.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tabs>
                <w:tab w:val="left" w:pos="181" w:leader="none"/>
                <w:tab w:val="left" w:pos="425" w:leader="none"/>
                <w:tab w:val="left" w:pos="709" w:leader="none"/>
              </w:tabs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Соблюдение 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требований к охране окружающей среды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Merge w:val="restart"/>
            <w:textDirection w:val="lrTb"/>
            <w:noWrap w:val="false"/>
          </w:tcPr>
          <w:p>
            <w:pPr>
              <w:ind w:left="0" w:right="0" w:firstLine="425"/>
              <w:jc w:val="both"/>
              <w:tabs>
                <w:tab w:val="left" w:pos="142" w:leader="none"/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выполнении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сех производимых</w:t>
            </w:r>
            <w:r>
              <w:rPr>
                <w:sz w:val="24"/>
                <w:szCs w:val="24"/>
              </w:rPr>
              <w:t xml:space="preserve">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tabs>
                <w:tab w:val="left" w:pos="142" w:leader="none"/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Отходы, строительный мусор должны своевременно вывозиться для дальнейшей утилизации. Место складирование указывается Заказчиком.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425"/>
              <w:jc w:val="both"/>
              <w:tabs>
                <w:tab w:val="left" w:pos="142" w:leader="none"/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0"/>
              <w:numPr>
                <w:ilvl w:val="0"/>
                <w:numId w:val="83"/>
              </w:numPr>
              <w:ind w:left="0" w:right="0" w:firstLine="283"/>
              <w:jc w:val="both"/>
              <w:tabs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0"/>
              <w:numPr>
                <w:ilvl w:val="0"/>
                <w:numId w:val="83"/>
              </w:numPr>
              <w:ind w:left="0" w:right="0" w:firstLine="283"/>
              <w:jc w:val="both"/>
              <w:tabs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0"/>
              <w:numPr>
                <w:ilvl w:val="0"/>
                <w:numId w:val="83"/>
              </w:numPr>
              <w:ind w:left="0" w:right="0" w:firstLine="283"/>
              <w:jc w:val="both"/>
              <w:tabs>
                <w:tab w:val="left" w:pos="18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Водный кодекс Российской Федерации.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Соблюдение требований охраны труда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Merge w:val="restart"/>
            <w:textDirection w:val="lrTb"/>
            <w:noWrap w:val="false"/>
          </w:tcPr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Контроль по соблюдению требований охраны труда осуществляется Подрядчиком и</w:t>
            </w:r>
            <w:r>
              <w:rPr>
                <w:sz w:val="24"/>
                <w:szCs w:val="24"/>
                <w:highlight w:val="white"/>
              </w:rPr>
              <w:t xml:space="preserve">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</w:t>
            </w:r>
            <w:r>
              <w:rPr>
                <w:sz w:val="24"/>
                <w:szCs w:val="24"/>
                <w:highlight w:val="white"/>
              </w:rPr>
              <w:t xml:space="preserve">ожарной безопасности, правилами пропускного и внутриобъектового режима Заказчика.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работ.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При выполнении работ на объектах электроэнергетики необходимо применять средства индивидуальной защиты (комплекты) от термических рисков электрической дуги.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hd w:val="clear" w:color="ffffff" w:themeColor="background1" w:fill="ffffff" w:themeFill="background1"/>
              <w:tabs>
                <w:tab w:val="left" w:pos="1276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Меры по соблюдению требований ох</w:t>
            </w:r>
            <w:r>
              <w:rPr>
                <w:sz w:val="24"/>
                <w:szCs w:val="24"/>
                <w:highlight w:val="white"/>
              </w:rPr>
              <w:t xml:space="preserve">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09"/>
              </w:numPr>
              <w:ind w:left="0" w:firstLine="709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</w:t>
            </w:r>
            <w:r>
              <w:rPr>
                <w:sz w:val="24"/>
                <w:szCs w:val="24"/>
                <w:highlight w:val="white"/>
              </w:rPr>
              <w:t xml:space="preserve">истерства труда от 27.11.2020 № 835н);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09"/>
              </w:numPr>
              <w:ind w:left="0" w:firstLine="709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09"/>
              </w:numPr>
              <w:ind w:left="0" w:firstLine="709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</w:t>
            </w:r>
            <w:r>
              <w:rPr>
                <w:sz w:val="24"/>
                <w:szCs w:val="24"/>
                <w:highlight w:val="white"/>
              </w:rPr>
              <w:t xml:space="preserve">ащиты Российской Федерации от 28.10.2020 №753н);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09"/>
              </w:numPr>
              <w:ind w:left="0" w:firstLine="709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Правила по охране труда при работе на высоте,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утвержденных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Министерством труда и социальной защиты Российской Федерации от 16.11.2020 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782н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38"/>
              </w:numPr>
              <w:ind w:left="0" w:firstLine="709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highlight w:val="white"/>
              </w:rPr>
              <w:t xml:space="preserve">РД 10-107-96 Типовая инструкция для стропальщиков по безопасному производству работ грузоподъемными машинами.</w:t>
            </w:r>
            <w:r>
              <w:rPr>
                <w:color w:val="000000" w:themeColor="text1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Состояние объектов ремонта должно соответствовать требованиям нормативно-технической документации в течение гарантийного срока.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</w:t>
            </w:r>
            <w:r>
              <w:rPr>
                <w:sz w:val="24"/>
                <w:szCs w:val="24"/>
                <w:highlight w:val="none"/>
              </w:rPr>
              <w:t xml:space="preserve">порядку приемки результатов работ</w:t>
            </w:r>
            <w:r>
              <w:rPr>
                <w:sz w:val="24"/>
                <w:szCs w:val="24"/>
                <w:highlight w:val="none"/>
              </w:rPr>
              <w:t xml:space="preserve"> указаны в Проекте договора подряда </w:t>
            </w:r>
            <w:r>
              <w:rPr>
                <w:i/>
                <w:sz w:val="24"/>
                <w:szCs w:val="24"/>
                <w:highlight w:val="none"/>
              </w:rPr>
              <w:t xml:space="preserve">(раздел 4)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1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"/>
                <w:szCs w:val="2"/>
              </w:rPr>
            </w:r>
            <w:r>
              <w:rPr>
                <w:b/>
                <w:bCs/>
                <w:sz w:val="2"/>
                <w:szCs w:val="2"/>
              </w:rPr>
            </w:r>
          </w:p>
          <w:p>
            <w:pPr>
              <w:ind w:left="0" w:firstLine="0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оформлению документации. Подрядчик обязан Представить Заказчику с актами выполненных работ (в 3 (трёх) экземплярах, а также электронные версии ежемесячных актов освидетельствования вып</w:t>
            </w:r>
            <w:r>
              <w:rPr>
                <w:sz w:val="24"/>
                <w:szCs w:val="24"/>
                <w:highlight w:val="white"/>
              </w:rPr>
              <w:t xml:space="preserve">олненных работ, Акта КС-2 и Справки КС-3 в формате *gsfx ПК «ГРАНД Смета» на цифровом носителе) исполнительную документацию в электронном виде (в формате *.pdf) и на бумажном носителе в 3-х экземплярах.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не позднее, чем за 2 дня до окончания ремо</w:t>
            </w:r>
            <w:r>
              <w:rPr>
                <w:sz w:val="24"/>
                <w:szCs w:val="24"/>
                <w:highlight w:val="white"/>
              </w:rPr>
              <w:t xml:space="preserve">нта представляет Заказчику исполнительную документацию, составленную в процессе ремонта. Перечень исполнительной документации должен утверждаться Заказчиком до начала ремонта.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jc w:val="both"/>
              <w:shd w:val="clear" w:color="ffffff" w:themeColor="background1" w:fill="ffffff" w:themeFill="background1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jc w:val="both"/>
              <w:shd w:val="clear" w:color="ffffff" w:themeColor="background1" w:fill="ffffff" w:themeFill="background1"/>
              <w:tabs>
                <w:tab w:val="left" w:pos="992" w:leader="none"/>
                <w:tab w:val="left" w:pos="15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Исполнительная и приёмо-сдаточная документация состоит, но не ограничивается следующими документами:  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комиссионные акты входного контроля закупаемых</w:t>
            </w:r>
            <w:r>
              <w:rPr>
                <w:sz w:val="24"/>
                <w:szCs w:val="24"/>
                <w:highlight w:val="white"/>
              </w:rPr>
              <w:t xml:space="preserve">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</w:t>
            </w:r>
            <w:r>
              <w:rPr>
                <w:sz w:val="24"/>
                <w:szCs w:val="24"/>
                <w:highlight w:val="white"/>
              </w:rPr>
              <w:t xml:space="preserve">изготовителя);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формуляры, карты контроля, карты измерений, протоколы и иные документы, характеризующие (фиксирующие) техническое состояние составных частей оборудовани</w:t>
            </w:r>
            <w:r>
              <w:rPr>
                <w:sz w:val="24"/>
                <w:szCs w:val="24"/>
                <w:highlight w:val="white"/>
              </w:rPr>
              <w:t xml:space="preserve">я до и после выполнения ремонтных работ и степень соответствия отремонтированных составных частей требованиям нормативно-технической документации;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результаты входного контроля, сертификаты на использованные в процессе ремонта материалы и запасные части;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накладная на отпуск материалов на сторону по форме М-15;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табель учета рабочего времени Подрядчика;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акт освидетельствования скрытых работ;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акт дефектации оборудования, акт о выявленных дефектах;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ведомость выполненных работ;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акт на приемку из ремонта оборудования;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70"/>
              <w:numPr>
                <w:ilvl w:val="0"/>
                <w:numId w:val="110"/>
              </w:numPr>
              <w:ind w:left="0" w:right="0" w:firstLine="283"/>
              <w:jc w:val="both"/>
              <w:shd w:val="clear" w:color="ffffff" w:themeColor="background1" w:fill="ffffff" w:themeFill="background1"/>
              <w:tabs>
                <w:tab w:val="left" w:pos="567" w:leader="none"/>
                <w:tab w:val="left" w:pos="992" w:leader="none"/>
                <w:tab w:val="left" w:pos="198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другие документы по усмотрению Сторон с учетом специфики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3.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Ответственности и гарантиям подрядчика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ответственности подрядчика подробно указаны в </w:t>
            </w:r>
            <w:r>
              <w:rPr>
                <w:sz w:val="24"/>
                <w:szCs w:val="24"/>
                <w:highlight w:val="white"/>
              </w:rPr>
              <w:t xml:space="preserve"> Проекте договора подряда (</w:t>
            </w:r>
            <w:r>
              <w:rPr>
                <w:i/>
                <w:sz w:val="24"/>
                <w:szCs w:val="24"/>
                <w:highlight w:val="white"/>
              </w:rPr>
              <w:t xml:space="preserve">раздел 6)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гарантии подрядчик подробно указано в П</w:t>
            </w:r>
            <w:r>
              <w:rPr>
                <w:sz w:val="24"/>
                <w:szCs w:val="24"/>
                <w:highlight w:val="white"/>
              </w:rPr>
              <w:t xml:space="preserve">роекте договора подряда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sz w:val="24"/>
                <w:szCs w:val="24"/>
                <w:highlight w:val="white"/>
              </w:rPr>
              <w:t xml:space="preserve">(раздел 7)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4.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4.1.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Обязательства Подрядчика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обязательствам подрядчика подробно указаны </w:t>
            </w:r>
            <w:r>
              <w:rPr>
                <w:sz w:val="24"/>
                <w:szCs w:val="24"/>
                <w:highlight w:val="white"/>
              </w:rPr>
              <w:t xml:space="preserve">в П</w:t>
            </w:r>
            <w:r>
              <w:rPr>
                <w:sz w:val="24"/>
                <w:szCs w:val="24"/>
                <w:highlight w:val="white"/>
              </w:rPr>
              <w:t xml:space="preserve">роекте договора подряда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(</w:t>
            </w:r>
            <w:r>
              <w:rPr>
                <w:i/>
                <w:sz w:val="24"/>
                <w:szCs w:val="24"/>
                <w:highlight w:val="white"/>
              </w:rPr>
              <w:t xml:space="preserve">раздел 2), </w:t>
            </w:r>
            <w:r>
              <w:rPr>
                <w:sz w:val="24"/>
                <w:szCs w:val="24"/>
                <w:highlight w:val="white"/>
              </w:rPr>
              <w:t xml:space="preserve">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Порядок привлечения субподрядчиков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В случае привлечения к выполнению работ субподрядных организаций, подрядчик обязан письменно согласовать с Заказчиком привл</w:t>
            </w:r>
            <w:r>
              <w:rPr>
                <w:iCs/>
                <w:sz w:val="24"/>
                <w:szCs w:val="24"/>
                <w:highlight w:val="white"/>
              </w:rPr>
              <w:t xml:space="preserve">екаемую субподрядную организацию с предоставлением заказчику на момент согласования договора субподряда документов, подтверждающие соответствие их квалификационного уровня, а также готовность и возможность выполнения ими работ, а также документы указанные </w:t>
            </w:r>
            <w:r>
              <w:rPr>
                <w:iCs/>
                <w:sz w:val="24"/>
                <w:szCs w:val="24"/>
                <w:highlight w:val="white"/>
              </w:rPr>
              <w:t xml:space="preserve">в п. 2.4.2 </w:t>
            </w:r>
            <w:r>
              <w:rPr>
                <w:sz w:val="24"/>
                <w:szCs w:val="24"/>
                <w:highlight w:val="white"/>
              </w:rPr>
              <w:t xml:space="preserve">Проекта договора подряда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Прочие требования к выполняемым работам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Работы выполняются согласно условиям договора подряда.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случае если какой-либо из указанных в настоящих ТТ, ГОСТ или нормативный документ был отменен в связи с выпуском новой редакции стандарта, то Подрядчику необходимо применять ГОСТ или нормативный документ, принятый в его развитие.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  <w:t xml:space="preserve">При срыве срока ремонта объектов, в обязательном порядке назначается комис</w:t>
            </w:r>
            <w:r>
              <w:rPr>
                <w:sz w:val="24"/>
                <w:szCs w:val="24"/>
                <w:highlight w:val="white"/>
              </w:rPr>
              <w:t xml:space="preserve">сия и составляется совместный акт Заказчика и Подрядчика с указанием времени перепростоя в ремонте, причины перепростоя и виновности сторон, участвующих в организационно-техническом выполнении ремонта. Отказ или уклонение представителей Подрядчика от участ</w:t>
            </w:r>
            <w:r>
              <w:rPr>
                <w:sz w:val="24"/>
                <w:szCs w:val="24"/>
                <w:highlight w:val="white"/>
              </w:rPr>
              <w:t xml:space="preserve">ия в составлении двустороннего акта, отказ Подрядчика от подписания в течение 3 рабочих дней двустороннего акта с признанием своей вины или отражением особого мнения рассматривается, как невыполн</w:t>
            </w:r>
            <w:r>
              <w:rPr>
                <w:sz w:val="24"/>
                <w:szCs w:val="24"/>
                <w:highlight w:val="white"/>
              </w:rPr>
              <w:t xml:space="preserve">ение договорных обязательств с последующим решением Заказчика</w:t>
            </w:r>
            <w:r>
              <w:rPr>
                <w:sz w:val="24"/>
                <w:szCs w:val="24"/>
                <w:highlight w:val="white"/>
              </w:rPr>
              <w:t xml:space="preserve"> о прекращении договорных отношений или применением определенных санкций к Подрядчику, указанных в п.</w:t>
            </w:r>
            <w:r>
              <w:rPr>
                <w:sz w:val="24"/>
                <w:szCs w:val="24"/>
                <w:highlight w:val="white"/>
                <w:shd w:val="clear" w:color="ffff00" w:fill="ffff00"/>
              </w:rPr>
              <w:t xml:space="preserve">6.3</w:t>
            </w:r>
            <w:r>
              <w:rPr>
                <w:sz w:val="24"/>
                <w:szCs w:val="24"/>
                <w:highlight w:val="white"/>
              </w:rPr>
              <w:t xml:space="preserve">. </w:t>
            </w:r>
            <w:r>
              <w:rPr>
                <w:sz w:val="24"/>
                <w:szCs w:val="24"/>
                <w:highlight w:val="white"/>
              </w:rPr>
              <w:t xml:space="preserve">Проекта договора подряда</w:t>
            </w:r>
            <w:r>
              <w:rPr>
                <w:sz w:val="24"/>
                <w:szCs w:val="24"/>
                <w:highlight w:val="white"/>
              </w:rPr>
              <w:t xml:space="preserve">, который является приложением к </w:t>
            </w:r>
            <w:r>
              <w:rPr>
                <w:sz w:val="24"/>
                <w:szCs w:val="24"/>
                <w:highlight w:val="white"/>
              </w:rPr>
              <w:t xml:space="preserve">ДоЗ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Заказчик и Подрядчик обязаны совместно разработать программу мероприятий по ликвидации отставания от установленных сроков выполнения работ в</w:t>
            </w:r>
            <w:r>
              <w:rPr>
                <w:sz w:val="24"/>
                <w:szCs w:val="24"/>
                <w:highlight w:val="white"/>
              </w:rPr>
              <w:t xml:space="preserve"> минимальный срок.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  <w:t xml:space="preserve">5 (пяти) рабочих дней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после размещения протокола подведения итогов закупки на сайте </w:t>
            </w:r>
            <w:hyperlink r:id="rId17" w:tooltip="http://www.zakupki.gov.ru" w:history="1">
              <w:r>
                <w:rPr>
                  <w:rStyle w:val="11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электронный адрес </w:t>
            </w:r>
            <w:hyperlink r:id="rId18" w:tooltip="mailto:Kulik-ANV@dgk.ru" w:history="1">
              <w:r>
                <w:rPr>
                  <w:rStyle w:val="11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</w:r>
              <w:r>
                <w:rPr>
                  <w:rStyle w:val="11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stepan-dv@dgk.ru ,   tereschenko-an@dgk.ru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)</w:t>
              </w:r>
              <w:r>
                <w:rPr>
                  <w:rStyle w:val="11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Style w:val="11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70"/>
              <w:ind w:left="0"/>
              <w:jc w:val="left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</w:t>
              <w:tab/>
              <w:t xml:space="preserve">Согласно требования 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иметь в наличие не менее  3 человек (руководитель, производитель работ и всех членов бригады) документы проверки знаний требований охраны труда включая требования по охране труда при работе  с инструментом и приспособлениями.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основании п.13,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 14, п.15 Правил по охране труда при работе на высоте,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утвержденных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Министерством труда и социальной защиты Российской Федерации от 16.11.2020 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782Н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иметь в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обладающих допуском работ на высоте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Align w:val="top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1.1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141" w:firstLine="5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окументами, подтверждающие проверку знаний требований охраны труда при работе с инструментом и приспособлениями, обученных лиц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выполнять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957"/>
              <w:ind w:left="0" w:right="141" w:firstLine="567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7"/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окументами,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подтверждающие получение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профессионального образования (обучении) и (или) о квалификации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подтверждающие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наличие допуска к работе на высоте у производителя и членов бригады (не ниже 2 группы), и руководителя работ (не ниже 3 группы)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center"/>
        <w:rPr>
          <w:b/>
          <w:i/>
          <w:sz w:val="24"/>
          <w:szCs w:val="24"/>
        </w:rPr>
        <w:sectPr>
          <w:footerReference w:type="first" r:id="rId14"/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958"/>
        <w:ind w:left="0" w:firstLine="65"/>
        <w:jc w:val="left"/>
        <w:spacing w:line="240" w:lineRule="auto"/>
        <w:rPr>
          <w:rFonts w:ascii="Times New Roman" w:hAnsi="Times New Roman" w:cs="Times New Roman"/>
          <w:sz w:val="22"/>
          <w:szCs w:val="22"/>
        </w:rPr>
      </w:pPr>
      <w:r/>
      <w:bookmarkStart w:id="31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документации по ценообразованию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этапе закупки</w:t>
      </w:r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/>
      <w:bookmarkEnd w:id="3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коэффициента).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jc w:val="both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Стоимость предложений участников определяется по формуле: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jc w:val="center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P=№*k,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где P – стоимость предложения участника;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№ – начальная (максимальная) цена договора (цена лота), определенная в соответствии со сметной документацией Заказчика), представленной в составе Документации о закупке (Приложение № 2 к ТТ);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k –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rFonts w:ascii="Times New Roman" w:hAnsi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pStyle w:val="1231"/>
        <w:ind w:left="709" w:firstLine="0"/>
        <w:jc w:val="both"/>
        <w:spacing w:line="240" w:lineRule="auto"/>
        <w:tabs>
          <w:tab w:val="left" w:pos="1134" w:leader="none"/>
        </w:tabs>
        <w:rPr>
          <w:sz w:val="4"/>
          <w:szCs w:val="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4"/>
          <w:szCs w:val="4"/>
          <w:highlight w:val="white"/>
        </w:rPr>
      </w:r>
      <w:r>
        <w:rPr>
          <w:sz w:val="4"/>
          <w:szCs w:val="4"/>
          <w:highlight w:val="white"/>
        </w:rPr>
      </w:r>
    </w:p>
    <w:p>
      <w:pPr>
        <w:pStyle w:val="958"/>
        <w:ind w:left="0" w:firstLine="65"/>
        <w:jc w:val="left"/>
        <w:spacing w:line="240" w:lineRule="auto"/>
        <w:rPr>
          <w:rFonts w:ascii="Times New Roman" w:hAnsi="Times New Roman" w:cs="Times New Roman"/>
          <w:sz w:val="22"/>
          <w:szCs w:val="22"/>
        </w:rPr>
      </w:pPr>
      <w:r/>
      <w:bookmarkStart w:id="32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/>
      <w:bookmarkEnd w:id="3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4.1. Требования к составлению сметной документации (при заключении договора):</w:t>
      </w:r>
      <w:r>
        <w:rPr>
          <w:rFonts w:ascii="Times New Roman" w:hAnsi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4.1.1.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3 к наст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оящим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i/>
          <w:sz w:val="22"/>
          <w:szCs w:val="22"/>
          <w:highlight w:val="white"/>
        </w:rPr>
      </w:r>
      <w:r>
        <w:rPr>
          <w:rFonts w:ascii="Times New Roman" w:hAnsi="Times New Roman" w:cs="Times New Roman"/>
          <w:i/>
          <w:sz w:val="22"/>
          <w:szCs w:val="22"/>
          <w:highlight w:val="white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4.1.2.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2"/>
          <w:szCs w:val="22"/>
          <w:highlight w:val="white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4.1.3.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сметной документации предусмотрен резерв средств на непредвиденные работы и затраты в размере 3%.</w:t>
      </w:r>
      <w:r>
        <w:rPr>
          <w:rFonts w:ascii="Times New Roman" w:hAnsi="Times New Roman" w:cs="Times New Roman"/>
          <w:sz w:val="22"/>
          <w:szCs w:val="22"/>
          <w:highlight w:val="white"/>
          <w:u w:val="single"/>
        </w:rPr>
      </w:r>
      <w:r>
        <w:rPr>
          <w:rFonts w:ascii="Times New Roman" w:hAnsi="Times New Roman" w:cs="Times New Roman"/>
          <w:sz w:val="22"/>
          <w:szCs w:val="22"/>
          <w:highlight w:val="white"/>
          <w:u w:val="single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2"/>
          <w:szCs w:val="22"/>
          <w:highlight w:val="white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u w:val="single"/>
        </w:rPr>
        <w:t xml:space="preserve">4.2.Требования к составлению сметной документации (на этапе исполнения договора):</w:t>
      </w:r>
      <w:r>
        <w:rPr>
          <w:rFonts w:ascii="Times New Roman" w:hAnsi="Times New Roman" w:cs="Times New Roman"/>
          <w:sz w:val="22"/>
          <w:szCs w:val="22"/>
          <w:highlight w:val="white"/>
          <w:u w:val="single"/>
        </w:rPr>
      </w:r>
      <w:r>
        <w:rPr>
          <w:rFonts w:ascii="Times New Roman" w:hAnsi="Times New Roman" w:cs="Times New Roman"/>
          <w:sz w:val="22"/>
          <w:szCs w:val="22"/>
          <w:highlight w:val="white"/>
          <w:u w:val="single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4.2.1.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В случае возникновения непредвиденных расходов в рамках реализации договора необходимо составлять и оф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ормлять сметную документацию в обоснование данных затрат в соответствии с требованиями, указанными в прил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ожении № 3 к насто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ящим Техническим требованиям, с применением понижа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ющего коэффициента, определённого по результатам конкурентной процедуры (п. 4.1.1).</w:t>
      </w:r>
      <w:r>
        <w:rPr>
          <w:rFonts w:ascii="Times New Roman" w:hAnsi="Times New Roman" w:cs="Times New Roman"/>
          <w:i w:val="0"/>
          <w:iCs w:val="0"/>
          <w:sz w:val="22"/>
          <w:szCs w:val="22"/>
          <w:highlight w:val="white"/>
        </w:rPr>
      </w:r>
      <w:r>
        <w:rPr>
          <w:rFonts w:ascii="Times New Roman" w:hAnsi="Times New Roman" w:cs="Times New Roman"/>
          <w:i w:val="0"/>
          <w:iCs w:val="0"/>
          <w:sz w:val="22"/>
          <w:szCs w:val="22"/>
          <w:highlight w:val="white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  <w:highlight w:val="white"/>
        </w:rPr>
        <w:t xml:space="preserve">4.2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  <w:highlight w:val="white"/>
        </w:rPr>
        <w:t xml:space="preserve">.2.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  <w:r>
        <w:rPr>
          <w:rFonts w:ascii="Times New Roman" w:hAnsi="Times New Roman" w:cs="Times New Roman"/>
          <w:i w:val="0"/>
          <w:iCs w:val="0"/>
          <w:sz w:val="22"/>
          <w:szCs w:val="22"/>
          <w:highlight w:val="white"/>
        </w:rPr>
      </w:r>
      <w:r>
        <w:rPr>
          <w:rFonts w:ascii="Times New Roman" w:hAnsi="Times New Roman" w:cs="Times New Roman"/>
          <w:i w:val="0"/>
          <w:iCs w:val="0"/>
          <w:sz w:val="22"/>
          <w:szCs w:val="22"/>
          <w:highlight w:val="white"/>
        </w:rPr>
      </w:r>
    </w:p>
    <w:p>
      <w:pPr>
        <w:pStyle w:val="958"/>
        <w:numPr>
          <w:ilvl w:val="0"/>
          <w:numId w:val="0"/>
        </w:numPr>
        <w:ind w:left="357"/>
        <w:jc w:val="center"/>
        <w:keepLines/>
        <w:spacing w:line="240" w:lineRule="auto"/>
        <w:rPr>
          <w:iCs/>
          <w:caps/>
          <w:sz w:val="24"/>
          <w:szCs w:val="24"/>
          <w:highlight w:val="white"/>
        </w:rPr>
      </w:pPr>
      <w:r/>
      <w:bookmarkStart w:id="33" w:name="_Toc17"/>
      <w:r>
        <w:rPr>
          <w:iCs/>
          <w:sz w:val="24"/>
          <w:szCs w:val="24"/>
          <w:highlight w:val="white"/>
        </w:rPr>
        <w:t xml:space="preserve">5. </w:t>
      </w:r>
      <w:r>
        <w:rPr>
          <w:iCs/>
          <w:sz w:val="24"/>
          <w:szCs w:val="24"/>
          <w:highlight w:val="white"/>
        </w:rPr>
        <w:t xml:space="preserve">Приложения</w:t>
      </w:r>
      <w:bookmarkEnd w:id="33"/>
      <w:r>
        <w:rPr>
          <w:iCs/>
          <w:caps/>
          <w:sz w:val="24"/>
          <w:szCs w:val="24"/>
          <w:highlight w:val="white"/>
        </w:rPr>
      </w:r>
      <w:r>
        <w:rPr>
          <w:iCs/>
          <w:caps/>
          <w:sz w:val="24"/>
          <w:szCs w:val="24"/>
          <w:highlight w:val="white"/>
        </w:rPr>
      </w:r>
    </w:p>
    <w:p>
      <w:pPr>
        <w:pStyle w:val="1170"/>
        <w:numPr>
          <w:ilvl w:val="0"/>
          <w:numId w:val="5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1. Ведомость объемов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70"/>
        <w:numPr>
          <w:ilvl w:val="0"/>
          <w:numId w:val="5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2. Локальный сметный расчет.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70"/>
        <w:numPr>
          <w:ilvl w:val="0"/>
          <w:numId w:val="5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3. Требования к оформлению и составлению документации по ценообразованию.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70"/>
        <w:numPr>
          <w:ilvl w:val="0"/>
          <w:numId w:val="5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4. Ведомость материалов Подрядчика.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70"/>
        <w:numPr>
          <w:ilvl w:val="0"/>
          <w:numId w:val="5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5. ЛНА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АО «ДГК».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first" r:id="rId15"/>
      <w:footnotePr/>
      <w:endnotePr/>
      <w:type w:val="nextPage"/>
      <w:pgSz w:w="11906" w:h="16838" w:orient="portrait"/>
      <w:pgMar w:top="1134" w:right="851" w:bottom="397" w:left="1134" w:header="680" w:footer="737" w:gutter="0"/>
      <w:pgNumType w:start="17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8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3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8"/>
      <w:jc w:val="right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8"/>
      <w:jc w:val="right"/>
      <w:rPr>
        <w:lang w:val="en-US"/>
      </w:rPr>
    </w:pPr>
    <w:r>
      <w:rPr>
        <w:lang w:val="en-US"/>
      </w:rPr>
      <w:t xml:space="preserve">5</w:t>
    </w:r>
    <w:r>
      <w:rPr>
        <w:lang w:val="en-US"/>
      </w:rPr>
    </w:r>
    <w:r>
      <w:rPr>
        <w:lang w:val="en-US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8"/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5"/>
      <w:jc w:val="center"/>
    </w:pPr>
    <w:r/>
    <w:r/>
  </w:p>
  <w:p>
    <w:pPr>
      <w:pStyle w:val="11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5"/>
      <w:rPr>
        <w:rStyle w:val="1137"/>
      </w:rPr>
      <w:framePr w:wrap="around" w:vAnchor="text" w:hAnchor="margin" w:xAlign="center" w:y="1"/>
    </w:pPr>
    <w:r>
      <w:rPr>
        <w:rStyle w:val="1137"/>
      </w:rPr>
      <w:fldChar w:fldCharType="begin"/>
    </w:r>
    <w:r>
      <w:rPr>
        <w:rStyle w:val="1137"/>
      </w:rPr>
      <w:instrText xml:space="preserve">PAGE  </w:instrText>
    </w:r>
    <w:r>
      <w:rPr>
        <w:rStyle w:val="1137"/>
      </w:rPr>
      <w:fldChar w:fldCharType="separate"/>
    </w:r>
    <w:r>
      <w:rPr>
        <w:rStyle w:val="1137"/>
      </w:rPr>
      <w:t xml:space="preserve">6</w:t>
    </w:r>
    <w:r>
      <w:rPr>
        <w:rStyle w:val="1137"/>
      </w:rPr>
      <w:fldChar w:fldCharType="end"/>
    </w:r>
    <w:r>
      <w:rPr>
        <w:rStyle w:val="1137"/>
      </w:rPr>
    </w:r>
    <w:r>
      <w:rPr>
        <w:rStyle w:val="1137"/>
      </w:rPr>
    </w:r>
  </w:p>
  <w:p>
    <w:pPr>
      <w:pStyle w:val="11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bullet"/>
      <w:pStyle w:val="118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18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18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6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8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0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2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6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8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25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95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6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60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11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1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styleLink w:val="1194"/>
    <w:lvl w:ilvl="0">
      <w:start w:val="3"/>
      <w:numFmt w:val="decimal"/>
      <w:pStyle w:val="119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121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20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20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0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0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0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1.5.2.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  <w:bCs w:val="0"/>
        <w:i w:val="0"/>
        <w:sz w:val="24"/>
        <w:szCs w:val="24"/>
      </w:rPr>
    </w:lvl>
    <w:lvl w:ilvl="1">
      <w:start w:val="1"/>
      <w:numFmt w:val="none"/>
      <w:isLgl w:val="false"/>
      <w:suff w:val="tab"/>
      <w:lvlText w:val="%1.6."/>
      <w:lvlJc w:val="left"/>
      <w:pPr>
        <w:ind w:left="1000" w:hanging="432"/>
      </w:pPr>
      <w:rPr>
        <w:rFonts w:hint="default" w:ascii="Times New Roman" w:hAnsi="Times New Roman" w:eastAsia="Times New Roman" w:cs="Times New Roman"/>
        <w:b w:val="0"/>
        <w:bCs/>
        <w:i w:val="0"/>
        <w:sz w:val="23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 w:ascii="Times New Roman" w:hAnsi="Times New Roman" w:eastAsia="Times New Roman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styleLink w:val="1198"/>
    <w:lvl w:ilvl="0">
      <w:start w:val="1"/>
      <w:numFmt w:val="decimal"/>
      <w:pStyle w:val="119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06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none"/>
      <w:isLgl w:val="false"/>
      <w:suff w:val="tab"/>
      <w:lvlText w:val="1.2.1.6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1.2.1.4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1.2.1.6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1.4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  <w:bCs w:val="0"/>
        <w:i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rFonts w:hint="default" w:ascii="Times New Roman" w:hAnsi="Times New Roman" w:eastAsia="Times New Roman" w:cs="Times New Roman"/>
        <w:b w:val="0"/>
        <w:bCs/>
        <w:i w:val="0"/>
        <w:sz w:val="23"/>
        <w:szCs w:val="24"/>
      </w:rPr>
    </w:lvl>
    <w:lvl w:ilvl="2">
      <w:start w:val="1"/>
      <w:numFmt w:val="none"/>
      <w:isLgl w:val="false"/>
      <w:suff w:val="tab"/>
      <w:lvlText w:val="%1.4."/>
      <w:lvlJc w:val="left"/>
      <w:pPr>
        <w:ind w:left="1224" w:hanging="504"/>
      </w:pPr>
      <w:rPr>
        <w:rFonts w:hint="default" w:ascii="Times New Roman" w:hAnsi="Times New Roman" w:eastAsia="Times New Roman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1.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1.4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1.7.3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1.7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1.7.4.1.%1."/>
      <w:lvlJc w:val="left"/>
      <w:pPr>
        <w:ind w:left="198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44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1.7.5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highlight w:val="white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2.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2.3.3.3.%1."/>
      <w:lvlJc w:val="left"/>
      <w:pPr>
        <w:ind w:left="1417" w:hanging="360"/>
      </w:pPr>
      <w:rPr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1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3.1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3.2.4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3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09" w:hanging="360"/>
      </w:pPr>
      <w:rPr>
        <w:rFonts w:ascii="Times New Roman" w:hAnsi="Times New Roman" w:eastAsia="Times New Roman" w:cs="Times New Roman"/>
        <w:b w:val="0"/>
        <w:bCs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6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8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0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2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6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8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25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1.5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1.5.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1.5.2.%1."/>
      <w:lvlJc w:val="left"/>
      <w:pPr>
        <w:ind w:left="67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9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2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1.5.2.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1.5.2.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none"/>
      <w:isLgl w:val="false"/>
      <w:suff w:val="tab"/>
      <w:lvlText w:val="1.5.2.2."/>
      <w:lvlJc w:val="left"/>
      <w:pPr>
        <w:ind w:left="10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8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80">
    <w:multiLevelType w:val="hybridMultilevel"/>
    <w:lvl w:ilvl="0">
      <w:start w:val="2"/>
      <w:numFmt w:val="decimal"/>
      <w:isLgl w:val="false"/>
      <w:suff w:val="tab"/>
      <w:lvlText w:val="1.5.2.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1.5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1.7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1.2.1.4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1.2.1.5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1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1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09" w:hanging="360"/>
      </w:pPr>
      <w:rPr>
        <w:rFonts w:ascii="Times New Roman" w:hAnsi="Times New Roman" w:eastAsia="Times New Roman" w:cs="Times New Roman"/>
        <w:b w:val="0"/>
        <w:bCs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1.5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00">
    <w:multiLevelType w:val="hybridMultilevel"/>
    <w:lvl w:ilvl="0">
      <w:start w:val="1"/>
      <w:numFmt w:val="decimal"/>
      <w:isLgl w:val="false"/>
      <w:suff w:val="tab"/>
      <w:lvlText w:val="1.5.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3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5"/>
  </w:num>
  <w:num w:numId="5">
    <w:abstractNumId w:val="12"/>
  </w:num>
  <w:num w:numId="6">
    <w:abstractNumId w:val="11"/>
  </w:num>
  <w:num w:numId="7">
    <w:abstractNumId w:val="13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2"/>
  </w:num>
  <w:num w:numId="15">
    <w:abstractNumId w:val="3"/>
  </w:num>
  <w:num w:numId="16">
    <w:abstractNumId w:val="1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56">
    <w:name w:val="Caption Char"/>
    <w:basedOn w:val="967"/>
    <w:link w:val="1165"/>
    <w:uiPriority w:val="35"/>
    <w:rPr>
      <w:b/>
      <w:bCs/>
      <w:color w:val="4f81bd" w:themeColor="accent1"/>
      <w:sz w:val="18"/>
      <w:szCs w:val="18"/>
    </w:rPr>
  </w:style>
  <w:style w:type="paragraph" w:styleId="957" w:default="1">
    <w:name w:val="Normal"/>
    <w:qFormat/>
    <w:rPr>
      <w:sz w:val="28"/>
      <w:szCs w:val="28"/>
    </w:rPr>
  </w:style>
  <w:style w:type="paragraph" w:styleId="958">
    <w:name w:val="Heading 1"/>
    <w:basedOn w:val="960"/>
    <w:next w:val="957"/>
    <w:link w:val="1157"/>
    <w:qFormat/>
    <w:pPr>
      <w:numPr>
        <w:ilvl w:val="0"/>
      </w:numPr>
      <w:outlineLvl w:val="0"/>
    </w:pPr>
    <w:rPr>
      <w:sz w:val="28"/>
      <w:szCs w:val="28"/>
    </w:rPr>
  </w:style>
  <w:style w:type="paragraph" w:styleId="959">
    <w:name w:val="Heading 2"/>
    <w:basedOn w:val="961"/>
    <w:next w:val="957"/>
    <w:link w:val="1159"/>
    <w:qFormat/>
    <w:pPr>
      <w:numPr>
        <w:ilvl w:val="0"/>
        <w:numId w:val="0"/>
      </w:numPr>
      <w:outlineLvl w:val="1"/>
    </w:pPr>
  </w:style>
  <w:style w:type="paragraph" w:styleId="960">
    <w:name w:val="Heading 3"/>
    <w:basedOn w:val="957"/>
    <w:next w:val="957"/>
    <w:link w:val="1160"/>
    <w:qFormat/>
    <w:pPr>
      <w:numPr>
        <w:ilvl w:val="2"/>
        <w:numId w:val="9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1">
    <w:name w:val="Heading 4"/>
    <w:basedOn w:val="960"/>
    <w:next w:val="957"/>
    <w:link w:val="1161"/>
    <w:qFormat/>
    <w:pPr>
      <w:numPr>
        <w:ilvl w:val="1"/>
      </w:numPr>
      <w:outlineLvl w:val="3"/>
    </w:pPr>
    <w:rPr>
      <w:bCs/>
    </w:rPr>
  </w:style>
  <w:style w:type="paragraph" w:styleId="962">
    <w:name w:val="Heading 5"/>
    <w:basedOn w:val="957"/>
    <w:next w:val="957"/>
    <w:link w:val="116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3">
    <w:name w:val="Heading 6"/>
    <w:basedOn w:val="957"/>
    <w:next w:val="957"/>
    <w:link w:val="115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64">
    <w:name w:val="Heading 7"/>
    <w:basedOn w:val="957"/>
    <w:next w:val="957"/>
    <w:link w:val="115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65">
    <w:name w:val="Heading 8"/>
    <w:basedOn w:val="957"/>
    <w:next w:val="957"/>
    <w:link w:val="115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66">
    <w:name w:val="Heading 9"/>
    <w:basedOn w:val="957"/>
    <w:next w:val="957"/>
    <w:link w:val="116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67" w:default="1">
    <w:name w:val="Default Paragraph Font"/>
    <w:uiPriority w:val="1"/>
    <w:semiHidden/>
    <w:unhideWhenUsed/>
  </w:style>
  <w:style w:type="table" w:styleId="9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9" w:default="1">
    <w:name w:val="No List"/>
    <w:uiPriority w:val="99"/>
    <w:semiHidden/>
    <w:unhideWhenUsed/>
  </w:style>
  <w:style w:type="character" w:styleId="970" w:customStyle="1">
    <w:name w:val="Title Char"/>
    <w:basedOn w:val="967"/>
    <w:uiPriority w:val="10"/>
    <w:rPr>
      <w:sz w:val="48"/>
      <w:szCs w:val="48"/>
    </w:rPr>
  </w:style>
  <w:style w:type="character" w:styleId="971" w:customStyle="1">
    <w:name w:val="Heading 1 Char"/>
    <w:basedOn w:val="967"/>
    <w:uiPriority w:val="9"/>
    <w:rPr>
      <w:rFonts w:ascii="Arial" w:hAnsi="Arial" w:eastAsia="Arial" w:cs="Arial"/>
      <w:sz w:val="40"/>
      <w:szCs w:val="40"/>
    </w:rPr>
  </w:style>
  <w:style w:type="character" w:styleId="972" w:customStyle="1">
    <w:name w:val="Heading 2 Char"/>
    <w:basedOn w:val="967"/>
    <w:uiPriority w:val="9"/>
    <w:rPr>
      <w:rFonts w:ascii="Arial" w:hAnsi="Arial" w:eastAsia="Arial" w:cs="Arial"/>
      <w:sz w:val="34"/>
    </w:rPr>
  </w:style>
  <w:style w:type="character" w:styleId="973" w:customStyle="1">
    <w:name w:val="Heading 3 Char"/>
    <w:basedOn w:val="967"/>
    <w:uiPriority w:val="9"/>
    <w:rPr>
      <w:rFonts w:ascii="Arial" w:hAnsi="Arial" w:eastAsia="Arial" w:cs="Arial"/>
      <w:sz w:val="30"/>
      <w:szCs w:val="30"/>
    </w:rPr>
  </w:style>
  <w:style w:type="character" w:styleId="974" w:customStyle="1">
    <w:name w:val="Heading 4 Char"/>
    <w:basedOn w:val="967"/>
    <w:uiPriority w:val="9"/>
    <w:rPr>
      <w:rFonts w:ascii="Arial" w:hAnsi="Arial" w:eastAsia="Arial" w:cs="Arial"/>
      <w:b/>
      <w:bCs/>
      <w:sz w:val="26"/>
      <w:szCs w:val="26"/>
    </w:rPr>
  </w:style>
  <w:style w:type="character" w:styleId="975" w:customStyle="1">
    <w:name w:val="Heading 5 Char"/>
    <w:basedOn w:val="967"/>
    <w:uiPriority w:val="9"/>
    <w:rPr>
      <w:rFonts w:ascii="Arial" w:hAnsi="Arial" w:eastAsia="Arial" w:cs="Arial"/>
      <w:b/>
      <w:bCs/>
      <w:sz w:val="24"/>
      <w:szCs w:val="24"/>
    </w:rPr>
  </w:style>
  <w:style w:type="character" w:styleId="976" w:customStyle="1">
    <w:name w:val="Heading 6 Char"/>
    <w:basedOn w:val="967"/>
    <w:uiPriority w:val="9"/>
    <w:rPr>
      <w:rFonts w:ascii="Arial" w:hAnsi="Arial" w:eastAsia="Arial" w:cs="Arial"/>
      <w:b/>
      <w:bCs/>
      <w:sz w:val="22"/>
      <w:szCs w:val="22"/>
    </w:rPr>
  </w:style>
  <w:style w:type="character" w:styleId="977" w:customStyle="1">
    <w:name w:val="Heading 7 Char"/>
    <w:basedOn w:val="9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78" w:customStyle="1">
    <w:name w:val="Heading 8 Char"/>
    <w:basedOn w:val="967"/>
    <w:uiPriority w:val="9"/>
    <w:rPr>
      <w:rFonts w:ascii="Arial" w:hAnsi="Arial" w:eastAsia="Arial" w:cs="Arial"/>
      <w:i/>
      <w:iCs/>
      <w:sz w:val="22"/>
      <w:szCs w:val="22"/>
    </w:rPr>
  </w:style>
  <w:style w:type="character" w:styleId="979" w:customStyle="1">
    <w:name w:val="Heading 9 Char"/>
    <w:basedOn w:val="967"/>
    <w:uiPriority w:val="9"/>
    <w:rPr>
      <w:rFonts w:ascii="Arial" w:hAnsi="Arial" w:eastAsia="Arial" w:cs="Arial"/>
      <w:i/>
      <w:iCs/>
      <w:sz w:val="21"/>
      <w:szCs w:val="21"/>
    </w:rPr>
  </w:style>
  <w:style w:type="paragraph" w:styleId="980">
    <w:name w:val="Title"/>
    <w:basedOn w:val="957"/>
    <w:next w:val="957"/>
    <w:link w:val="9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1" w:customStyle="1">
    <w:name w:val="Заголовок Знак"/>
    <w:basedOn w:val="967"/>
    <w:link w:val="980"/>
    <w:uiPriority w:val="10"/>
    <w:rPr>
      <w:sz w:val="48"/>
      <w:szCs w:val="48"/>
    </w:rPr>
  </w:style>
  <w:style w:type="character" w:styleId="982" w:customStyle="1">
    <w:name w:val="Subtitle Char"/>
    <w:basedOn w:val="967"/>
    <w:uiPriority w:val="11"/>
    <w:rPr>
      <w:sz w:val="24"/>
      <w:szCs w:val="24"/>
    </w:rPr>
  </w:style>
  <w:style w:type="character" w:styleId="983" w:customStyle="1">
    <w:name w:val="Quote Char"/>
    <w:uiPriority w:val="29"/>
    <w:rPr>
      <w:i/>
    </w:rPr>
  </w:style>
  <w:style w:type="character" w:styleId="984" w:customStyle="1">
    <w:name w:val="Intense Quote Char"/>
    <w:uiPriority w:val="30"/>
    <w:rPr>
      <w:i/>
    </w:rPr>
  </w:style>
  <w:style w:type="character" w:styleId="985" w:customStyle="1">
    <w:name w:val="Header Char"/>
    <w:basedOn w:val="967"/>
    <w:uiPriority w:val="99"/>
  </w:style>
  <w:style w:type="character" w:styleId="986" w:customStyle="1">
    <w:name w:val="Footer Char"/>
    <w:basedOn w:val="967"/>
    <w:uiPriority w:val="99"/>
  </w:style>
  <w:style w:type="character" w:styleId="987" w:customStyle="1">
    <w:name w:val="Название объекта Знак"/>
    <w:link w:val="1165"/>
    <w:uiPriority w:val="99"/>
  </w:style>
  <w:style w:type="table" w:styleId="988" w:customStyle="1">
    <w:name w:val="Table Grid Light"/>
    <w:basedOn w:val="96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89">
    <w:name w:val="Plain Table 1"/>
    <w:basedOn w:val="96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0">
    <w:name w:val="Plain Table 2"/>
    <w:basedOn w:val="96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1">
    <w:name w:val="Plain Table 3"/>
    <w:basedOn w:val="96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2">
    <w:name w:val="Plain Table 4"/>
    <w:basedOn w:val="96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Plain Table 5"/>
    <w:basedOn w:val="96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4">
    <w:name w:val="Grid Table 1 Light"/>
    <w:basedOn w:val="96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Grid Table 1 Light - Accent 1"/>
    <w:basedOn w:val="96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Grid Table 1 Light - Accent 2"/>
    <w:basedOn w:val="96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Grid Table 1 Light - Accent 3"/>
    <w:basedOn w:val="96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Grid Table 1 Light - Accent 4"/>
    <w:basedOn w:val="96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Grid Table 1 Light - Accent 5"/>
    <w:basedOn w:val="96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Grid Table 1 Light - Accent 6"/>
    <w:basedOn w:val="96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Grid Table 2"/>
    <w:basedOn w:val="96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2 - Accent 1"/>
    <w:basedOn w:val="96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2 - Accent 2"/>
    <w:basedOn w:val="96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2 - Accent 3"/>
    <w:basedOn w:val="96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Grid Table 2 - Accent 4"/>
    <w:basedOn w:val="96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Grid Table 2 - Accent 5"/>
    <w:basedOn w:val="96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Grid Table 2 - Accent 6"/>
    <w:basedOn w:val="96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3"/>
    <w:basedOn w:val="96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Grid Table 3 - Accent 1"/>
    <w:basedOn w:val="96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3 - Accent 2"/>
    <w:basedOn w:val="96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3 - Accent 3"/>
    <w:basedOn w:val="96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3 - Accent 4"/>
    <w:basedOn w:val="96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3 - Accent 5"/>
    <w:basedOn w:val="96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3 - Accent 6"/>
    <w:basedOn w:val="96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4"/>
    <w:basedOn w:val="96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6" w:customStyle="1">
    <w:name w:val="Grid Table 4 - Accent 1"/>
    <w:basedOn w:val="96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1017" w:customStyle="1">
    <w:name w:val="Grid Table 4 - Accent 2"/>
    <w:basedOn w:val="96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018" w:customStyle="1">
    <w:name w:val="Grid Table 4 - Accent 3"/>
    <w:basedOn w:val="96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19" w:customStyle="1">
    <w:name w:val="Grid Table 4 - Accent 4"/>
    <w:basedOn w:val="96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20" w:customStyle="1">
    <w:name w:val="Grid Table 4 - Accent 5"/>
    <w:basedOn w:val="96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21" w:customStyle="1">
    <w:name w:val="Grid Table 4 - Accent 6"/>
    <w:basedOn w:val="96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22">
    <w:name w:val="Grid Table 5 Dark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23" w:customStyle="1">
    <w:name w:val="Grid Table 5 Dark- Accent 1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24" w:customStyle="1">
    <w:name w:val="Grid Table 5 Dark - Accent 2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25" w:customStyle="1">
    <w:name w:val="Grid Table 5 Dark - Accent 3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26" w:customStyle="1">
    <w:name w:val="Grid Table 5 Dark- Accent 4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27" w:customStyle="1">
    <w:name w:val="Grid Table 5 Dark - Accent 5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28" w:customStyle="1">
    <w:name w:val="Grid Table 5 Dark - Accent 6"/>
    <w:basedOn w:val="96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29">
    <w:name w:val="Grid Table 6 Colorful"/>
    <w:basedOn w:val="96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30" w:customStyle="1">
    <w:name w:val="Grid Table 6 Colorful - Accent 1"/>
    <w:basedOn w:val="96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1031" w:customStyle="1">
    <w:name w:val="Grid Table 6 Colorful - Accent 2"/>
    <w:basedOn w:val="96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32" w:customStyle="1">
    <w:name w:val="Grid Table 6 Colorful - Accent 3"/>
    <w:basedOn w:val="96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33" w:customStyle="1">
    <w:name w:val="Grid Table 6 Colorful - Accent 4"/>
    <w:basedOn w:val="96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34" w:customStyle="1">
    <w:name w:val="Grid Table 6 Colorful - Accent 5"/>
    <w:basedOn w:val="96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35" w:customStyle="1">
    <w:name w:val="Grid Table 6 Colorful - Accent 6"/>
    <w:basedOn w:val="96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36">
    <w:name w:val="Grid Table 7 Colorful"/>
    <w:basedOn w:val="96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7" w:customStyle="1">
    <w:name w:val="Grid Table 7 Colorful - Accent 1"/>
    <w:basedOn w:val="96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8" w:customStyle="1">
    <w:name w:val="Grid Table 7 Colorful - Accent 2"/>
    <w:basedOn w:val="96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9" w:customStyle="1">
    <w:name w:val="Grid Table 7 Colorful - Accent 3"/>
    <w:basedOn w:val="96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0" w:customStyle="1">
    <w:name w:val="Grid Table 7 Colorful - Accent 4"/>
    <w:basedOn w:val="96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1" w:customStyle="1">
    <w:name w:val="Grid Table 7 Colorful - Accent 5"/>
    <w:basedOn w:val="96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2" w:customStyle="1">
    <w:name w:val="Grid Table 7 Colorful - Accent 6"/>
    <w:basedOn w:val="96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3">
    <w:name w:val="List Table 1 Light"/>
    <w:basedOn w:val="96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List Table 1 Light - Accent 1"/>
    <w:basedOn w:val="968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List Table 1 Light - Accent 2"/>
    <w:basedOn w:val="968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1 Light - Accent 3"/>
    <w:basedOn w:val="968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1 Light - Accent 4"/>
    <w:basedOn w:val="968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1 Light - Accent 5"/>
    <w:basedOn w:val="968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1 Light - Accent 6"/>
    <w:basedOn w:val="968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List Table 2"/>
    <w:basedOn w:val="96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51" w:customStyle="1">
    <w:name w:val="List Table 2 - Accent 1"/>
    <w:basedOn w:val="96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52" w:customStyle="1">
    <w:name w:val="List Table 2 - Accent 2"/>
    <w:basedOn w:val="96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53" w:customStyle="1">
    <w:name w:val="List Table 2 - Accent 3"/>
    <w:basedOn w:val="96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54" w:customStyle="1">
    <w:name w:val="List Table 2 - Accent 4"/>
    <w:basedOn w:val="96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55" w:customStyle="1">
    <w:name w:val="List Table 2 - Accent 5"/>
    <w:basedOn w:val="96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56" w:customStyle="1">
    <w:name w:val="List Table 2 - Accent 6"/>
    <w:basedOn w:val="96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57">
    <w:name w:val="List Table 3"/>
    <w:basedOn w:val="96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 w:customStyle="1">
    <w:name w:val="List Table 3 - Accent 1"/>
    <w:basedOn w:val="96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 w:customStyle="1">
    <w:name w:val="List Table 3 - Accent 2"/>
    <w:basedOn w:val="96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 w:customStyle="1">
    <w:name w:val="List Table 3 - Accent 3"/>
    <w:basedOn w:val="96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 w:customStyle="1">
    <w:name w:val="List Table 3 - Accent 4"/>
    <w:basedOn w:val="96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 w:customStyle="1">
    <w:name w:val="List Table 3 - Accent 5"/>
    <w:basedOn w:val="96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 w:customStyle="1">
    <w:name w:val="List Table 3 - Accent 6"/>
    <w:basedOn w:val="96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>
    <w:name w:val="List Table 4"/>
    <w:basedOn w:val="96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List Table 4 - Accent 1"/>
    <w:basedOn w:val="96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List Table 4 - Accent 2"/>
    <w:basedOn w:val="96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List Table 4 - Accent 3"/>
    <w:basedOn w:val="96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4 - Accent 4"/>
    <w:basedOn w:val="96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4 - Accent 5"/>
    <w:basedOn w:val="96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4 - Accent 6"/>
    <w:basedOn w:val="96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5 Dark"/>
    <w:basedOn w:val="96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2" w:customStyle="1">
    <w:name w:val="List Table 5 Dark - Accent 1"/>
    <w:basedOn w:val="96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3" w:customStyle="1">
    <w:name w:val="List Table 5 Dark - Accent 2"/>
    <w:basedOn w:val="96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4" w:customStyle="1">
    <w:name w:val="List Table 5 Dark - Accent 3"/>
    <w:basedOn w:val="96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5" w:customStyle="1">
    <w:name w:val="List Table 5 Dark - Accent 4"/>
    <w:basedOn w:val="96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6" w:customStyle="1">
    <w:name w:val="List Table 5 Dark - Accent 5"/>
    <w:basedOn w:val="96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7" w:customStyle="1">
    <w:name w:val="List Table 5 Dark - Accent 6"/>
    <w:basedOn w:val="96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8">
    <w:name w:val="List Table 6 Colorful"/>
    <w:basedOn w:val="96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79" w:customStyle="1">
    <w:name w:val="List Table 6 Colorful - Accent 1"/>
    <w:basedOn w:val="96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80" w:customStyle="1">
    <w:name w:val="List Table 6 Colorful - Accent 2"/>
    <w:basedOn w:val="96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81" w:customStyle="1">
    <w:name w:val="List Table 6 Colorful - Accent 3"/>
    <w:basedOn w:val="96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82" w:customStyle="1">
    <w:name w:val="List Table 6 Colorful - Accent 4"/>
    <w:basedOn w:val="96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83" w:customStyle="1">
    <w:name w:val="List Table 6 Colorful - Accent 5"/>
    <w:basedOn w:val="96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1084" w:customStyle="1">
    <w:name w:val="List Table 6 Colorful - Accent 6"/>
    <w:basedOn w:val="96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85">
    <w:name w:val="List Table 7 Colorful"/>
    <w:basedOn w:val="96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6" w:customStyle="1">
    <w:name w:val="List Table 7 Colorful - Accent 1"/>
    <w:basedOn w:val="96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7" w:customStyle="1">
    <w:name w:val="List Table 7 Colorful - Accent 2"/>
    <w:basedOn w:val="96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8" w:customStyle="1">
    <w:name w:val="List Table 7 Colorful - Accent 3"/>
    <w:basedOn w:val="96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9" w:customStyle="1">
    <w:name w:val="List Table 7 Colorful - Accent 4"/>
    <w:basedOn w:val="96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0" w:customStyle="1">
    <w:name w:val="List Table 7 Colorful - Accent 5"/>
    <w:basedOn w:val="96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1" w:customStyle="1">
    <w:name w:val="List Table 7 Colorful - Accent 6"/>
    <w:basedOn w:val="96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2" w:customStyle="1">
    <w:name w:val="Lined - Accent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93" w:customStyle="1">
    <w:name w:val="Lined - Accent 1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94" w:customStyle="1">
    <w:name w:val="Lined - Accent 2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95" w:customStyle="1">
    <w:name w:val="Lined - Accent 3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96" w:customStyle="1">
    <w:name w:val="Lined - Accent 4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97" w:customStyle="1">
    <w:name w:val="Lined - Accent 5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98" w:customStyle="1">
    <w:name w:val="Lined - Accent 6"/>
    <w:basedOn w:val="96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99" w:customStyle="1">
    <w:name w:val="Bordered &amp; Lined - Accent"/>
    <w:basedOn w:val="96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00" w:customStyle="1">
    <w:name w:val="Bordered &amp; Lined - Accent 1"/>
    <w:basedOn w:val="968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1" w:customStyle="1">
    <w:name w:val="Bordered &amp; Lined - Accent 2"/>
    <w:basedOn w:val="96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02" w:customStyle="1">
    <w:name w:val="Bordered &amp; Lined - Accent 3"/>
    <w:basedOn w:val="96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3" w:customStyle="1">
    <w:name w:val="Bordered &amp; Lined - Accent 4"/>
    <w:basedOn w:val="96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04" w:customStyle="1">
    <w:name w:val="Bordered &amp; Lined - Accent 5"/>
    <w:basedOn w:val="968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05" w:customStyle="1">
    <w:name w:val="Bordered &amp; Lined - Accent 6"/>
    <w:basedOn w:val="96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06" w:customStyle="1">
    <w:name w:val="Bordered"/>
    <w:basedOn w:val="96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07" w:customStyle="1">
    <w:name w:val="Bordered - Accent 1"/>
    <w:basedOn w:val="96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08" w:customStyle="1">
    <w:name w:val="Bordered - Accent 2"/>
    <w:basedOn w:val="96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109" w:customStyle="1">
    <w:name w:val="Bordered - Accent 3"/>
    <w:basedOn w:val="96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10" w:customStyle="1">
    <w:name w:val="Bordered - Accent 4"/>
    <w:basedOn w:val="96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111" w:customStyle="1">
    <w:name w:val="Bordered - Accent 5"/>
    <w:basedOn w:val="96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112" w:customStyle="1">
    <w:name w:val="Bordered - Accent 6"/>
    <w:basedOn w:val="96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13" w:customStyle="1">
    <w:name w:val="Footnote Text Char"/>
    <w:uiPriority w:val="99"/>
    <w:rPr>
      <w:sz w:val="18"/>
    </w:rPr>
  </w:style>
  <w:style w:type="character" w:styleId="1114" w:customStyle="1">
    <w:name w:val="Endnote Text Char"/>
    <w:uiPriority w:val="99"/>
    <w:rPr>
      <w:sz w:val="20"/>
    </w:rPr>
  </w:style>
  <w:style w:type="paragraph" w:styleId="1115">
    <w:name w:val="table of figures"/>
    <w:basedOn w:val="957"/>
    <w:next w:val="957"/>
    <w:uiPriority w:val="99"/>
    <w:unhideWhenUsed/>
  </w:style>
  <w:style w:type="paragraph" w:styleId="1116" w:customStyle="1">
    <w:name w:val="Название раздела инструкции"/>
    <w:basedOn w:val="957"/>
    <w:pPr>
      <w:jc w:val="center"/>
    </w:pPr>
    <w:rPr>
      <w:b/>
    </w:rPr>
  </w:style>
  <w:style w:type="paragraph" w:styleId="1117" w:customStyle="1">
    <w:name w:val="Раздел положения"/>
    <w:basedOn w:val="95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118" w:customStyle="1">
    <w:name w:val="Подраздел раздела положения"/>
    <w:basedOn w:val="957"/>
    <w:pPr>
      <w:numPr>
        <w:ilvl w:val="1"/>
        <w:numId w:val="1"/>
      </w:numPr>
      <w:jc w:val="both"/>
      <w:spacing w:before="80" w:after="80"/>
    </w:pPr>
  </w:style>
  <w:style w:type="paragraph" w:styleId="1119">
    <w:name w:val="footnote text"/>
    <w:basedOn w:val="957"/>
    <w:link w:val="1193"/>
    <w:uiPriority w:val="99"/>
    <w:rPr>
      <w:sz w:val="20"/>
      <w:szCs w:val="20"/>
    </w:rPr>
  </w:style>
  <w:style w:type="character" w:styleId="1120">
    <w:name w:val="footnote reference"/>
    <w:rPr>
      <w:vertAlign w:val="superscript"/>
    </w:rPr>
  </w:style>
  <w:style w:type="paragraph" w:styleId="1121" w:customStyle="1">
    <w:name w:val="Шапка 1"/>
    <w:basedOn w:val="95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122" w:customStyle="1">
    <w:name w:val="Шапка 2"/>
    <w:basedOn w:val="95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123" w:customStyle="1">
    <w:name w:val="Шапка 3"/>
    <w:basedOn w:val="95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124" w:customStyle="1">
    <w:name w:val="Название1"/>
    <w:basedOn w:val="957"/>
    <w:link w:val="1166"/>
    <w:uiPriority w:val="10"/>
    <w:qFormat/>
    <w:pPr>
      <w:jc w:val="center"/>
    </w:pPr>
    <w:rPr>
      <w:szCs w:val="20"/>
    </w:rPr>
  </w:style>
  <w:style w:type="paragraph" w:styleId="1125">
    <w:name w:val="Header"/>
    <w:basedOn w:val="957"/>
    <w:link w:val="121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126">
    <w:name w:val="Body Text Indent"/>
    <w:basedOn w:val="957"/>
    <w:pPr>
      <w:ind w:left="360"/>
    </w:pPr>
    <w:rPr>
      <w:sz w:val="24"/>
      <w:szCs w:val="24"/>
    </w:rPr>
  </w:style>
  <w:style w:type="table" w:styleId="1127">
    <w:name w:val="Table Grid"/>
    <w:basedOn w:val="96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8">
    <w:name w:val="Footer"/>
    <w:basedOn w:val="957"/>
    <w:link w:val="1228"/>
    <w:uiPriority w:val="99"/>
    <w:pPr>
      <w:tabs>
        <w:tab w:val="center" w:pos="4677" w:leader="none"/>
        <w:tab w:val="right" w:pos="9355" w:leader="none"/>
      </w:tabs>
    </w:pPr>
  </w:style>
  <w:style w:type="paragraph" w:styleId="1129">
    <w:name w:val="Body Text"/>
    <w:basedOn w:val="957"/>
    <w:link w:val="1196"/>
    <w:pPr>
      <w:spacing w:after="120"/>
    </w:pPr>
  </w:style>
  <w:style w:type="paragraph" w:styleId="1130">
    <w:name w:val="Body Text Indent 2"/>
    <w:basedOn w:val="957"/>
    <w:pPr>
      <w:ind w:left="283"/>
      <w:spacing w:after="120" w:line="480" w:lineRule="auto"/>
    </w:pPr>
  </w:style>
  <w:style w:type="paragraph" w:styleId="1131">
    <w:name w:val="Body Text 3"/>
    <w:basedOn w:val="957"/>
    <w:pPr>
      <w:spacing w:after="120"/>
    </w:pPr>
    <w:rPr>
      <w:sz w:val="16"/>
      <w:szCs w:val="16"/>
    </w:rPr>
  </w:style>
  <w:style w:type="paragraph" w:styleId="1132">
    <w:name w:val="Body Text Indent 3"/>
    <w:basedOn w:val="957"/>
    <w:link w:val="1227"/>
    <w:uiPriority w:val="99"/>
    <w:pPr>
      <w:ind w:left="283"/>
      <w:spacing w:after="120"/>
    </w:pPr>
    <w:rPr>
      <w:sz w:val="16"/>
      <w:szCs w:val="16"/>
    </w:rPr>
  </w:style>
  <w:style w:type="paragraph" w:styleId="1133">
    <w:name w:val="Body Text 2"/>
    <w:basedOn w:val="957"/>
    <w:pPr>
      <w:spacing w:after="120" w:line="480" w:lineRule="auto"/>
    </w:pPr>
  </w:style>
  <w:style w:type="paragraph" w:styleId="1134">
    <w:name w:val="Block Text"/>
    <w:basedOn w:val="957"/>
    <w:pPr>
      <w:ind w:left="-567" w:right="-766"/>
      <w:jc w:val="center"/>
    </w:pPr>
    <w:rPr>
      <w:b/>
      <w:bCs/>
      <w:sz w:val="24"/>
      <w:szCs w:val="20"/>
    </w:rPr>
  </w:style>
  <w:style w:type="paragraph" w:styleId="1135" w:customStyle="1">
    <w:name w:val="Подпункт"/>
    <w:basedOn w:val="957"/>
    <w:link w:val="119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136" w:customStyle="1">
    <w:name w:val="Пункт2"/>
    <w:basedOn w:val="957"/>
    <w:link w:val="121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137">
    <w:name w:val="page number"/>
    <w:basedOn w:val="967"/>
  </w:style>
  <w:style w:type="paragraph" w:styleId="1138">
    <w:name w:val="toc 1"/>
    <w:basedOn w:val="957"/>
    <w:next w:val="95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139">
    <w:name w:val="toc 3"/>
    <w:basedOn w:val="957"/>
    <w:next w:val="957"/>
    <w:uiPriority w:val="39"/>
    <w:pPr>
      <w:ind w:left="280"/>
    </w:pPr>
    <w:rPr>
      <w:rFonts w:cstheme="minorHAnsi"/>
      <w:sz w:val="20"/>
      <w:szCs w:val="20"/>
    </w:rPr>
  </w:style>
  <w:style w:type="character" w:styleId="1140">
    <w:name w:val="Hyperlink"/>
    <w:uiPriority w:val="99"/>
    <w:rPr>
      <w:color w:val="0000ff"/>
      <w:u w:val="single"/>
    </w:rPr>
  </w:style>
  <w:style w:type="paragraph" w:styleId="1141" w:customStyle="1">
    <w:name w:val="Раздел регламента"/>
    <w:basedOn w:val="957"/>
  </w:style>
  <w:style w:type="paragraph" w:styleId="1142" w:customStyle="1">
    <w:name w:val="Приложение к регламенту"/>
    <w:basedOn w:val="957"/>
    <w:pPr>
      <w:jc w:val="right"/>
    </w:pPr>
  </w:style>
  <w:style w:type="paragraph" w:styleId="1143">
    <w:name w:val="toc 2"/>
    <w:basedOn w:val="957"/>
    <w:next w:val="95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144">
    <w:name w:val="Balloon Text"/>
    <w:basedOn w:val="957"/>
    <w:semiHidden/>
    <w:rPr>
      <w:rFonts w:ascii="Tahoma" w:hAnsi="Tahoma" w:cs="Tahoma"/>
      <w:sz w:val="16"/>
      <w:szCs w:val="16"/>
    </w:rPr>
  </w:style>
  <w:style w:type="character" w:styleId="1145">
    <w:name w:val="annotation reference"/>
    <w:uiPriority w:val="99"/>
    <w:semiHidden/>
    <w:rPr>
      <w:sz w:val="16"/>
      <w:szCs w:val="16"/>
    </w:rPr>
  </w:style>
  <w:style w:type="paragraph" w:styleId="1146">
    <w:name w:val="annotation text"/>
    <w:basedOn w:val="957"/>
    <w:link w:val="1211"/>
    <w:semiHidden/>
    <w:rPr>
      <w:sz w:val="20"/>
      <w:szCs w:val="20"/>
    </w:rPr>
  </w:style>
  <w:style w:type="paragraph" w:styleId="1147">
    <w:name w:val="annotation subject"/>
    <w:basedOn w:val="1146"/>
    <w:next w:val="1146"/>
    <w:semiHidden/>
    <w:rPr>
      <w:b/>
      <w:bCs/>
    </w:rPr>
  </w:style>
  <w:style w:type="paragraph" w:styleId="1148" w:customStyle="1">
    <w:name w:val="Обычный (веб)1"/>
    <w:basedOn w:val="95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149">
    <w:name w:val="toc 9"/>
    <w:basedOn w:val="957"/>
    <w:next w:val="95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150">
    <w:name w:val="toc 5"/>
    <w:basedOn w:val="957"/>
    <w:next w:val="95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151">
    <w:name w:val="toc 4"/>
    <w:basedOn w:val="957"/>
    <w:next w:val="957"/>
    <w:uiPriority w:val="39"/>
    <w:pPr>
      <w:ind w:left="560"/>
    </w:pPr>
    <w:rPr>
      <w:rFonts w:cstheme="minorHAnsi"/>
      <w:sz w:val="20"/>
      <w:szCs w:val="20"/>
    </w:rPr>
  </w:style>
  <w:style w:type="paragraph" w:styleId="1152" w:customStyle="1">
    <w:name w:val="Раздел положения 2"/>
    <w:basedOn w:val="957"/>
    <w:pPr>
      <w:jc w:val="both"/>
      <w:pageBreakBefore/>
      <w:outlineLvl w:val="0"/>
    </w:pPr>
    <w:rPr>
      <w:b/>
    </w:rPr>
  </w:style>
  <w:style w:type="character" w:styleId="1153">
    <w:name w:val="Strong"/>
    <w:qFormat/>
    <w:rPr>
      <w:b/>
      <w:bCs/>
    </w:rPr>
  </w:style>
  <w:style w:type="character" w:styleId="1154" w:customStyle="1">
    <w:name w:val="Заголовок 6 Знак"/>
    <w:link w:val="963"/>
    <w:uiPriority w:val="9"/>
    <w:rPr>
      <w:rFonts w:ascii="Cambria" w:hAnsi="Cambria"/>
      <w:i/>
      <w:iCs/>
      <w:color w:val="243f60"/>
    </w:rPr>
  </w:style>
  <w:style w:type="character" w:styleId="1155" w:customStyle="1">
    <w:name w:val="Заголовок 7 Знак"/>
    <w:link w:val="964"/>
    <w:uiPriority w:val="9"/>
    <w:rPr>
      <w:rFonts w:ascii="Cambria" w:hAnsi="Cambria"/>
      <w:i/>
      <w:iCs/>
      <w:color w:val="404040"/>
    </w:rPr>
  </w:style>
  <w:style w:type="character" w:styleId="1156" w:customStyle="1">
    <w:name w:val="Заголовок 8 Знак"/>
    <w:link w:val="965"/>
    <w:uiPriority w:val="9"/>
    <w:rPr>
      <w:rFonts w:ascii="Cambria" w:hAnsi="Cambria"/>
      <w:color w:val="4f81bd"/>
    </w:rPr>
  </w:style>
  <w:style w:type="character" w:styleId="1157" w:customStyle="1">
    <w:name w:val="Заголовок 1 Знак"/>
    <w:link w:val="958"/>
    <w:rPr>
      <w:rFonts w:eastAsia="Calibri"/>
      <w:b/>
      <w:sz w:val="28"/>
      <w:szCs w:val="28"/>
    </w:rPr>
  </w:style>
  <w:style w:type="paragraph" w:styleId="1158" w:customStyle="1">
    <w:name w:val="Знак Знак Знак Знак Знак Знак Знак Знак Знак"/>
    <w:basedOn w:val="95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159" w:customStyle="1">
    <w:name w:val="Заголовок 2 Знак"/>
    <w:link w:val="959"/>
    <w:rPr>
      <w:rFonts w:eastAsia="Calibri"/>
      <w:b/>
      <w:bCs/>
      <w:sz w:val="24"/>
      <w:szCs w:val="24"/>
    </w:rPr>
  </w:style>
  <w:style w:type="character" w:styleId="1160" w:customStyle="1">
    <w:name w:val="Заголовок 3 Знак"/>
    <w:link w:val="960"/>
    <w:rPr>
      <w:rFonts w:eastAsia="Calibri"/>
      <w:b/>
      <w:sz w:val="24"/>
      <w:szCs w:val="24"/>
    </w:rPr>
  </w:style>
  <w:style w:type="character" w:styleId="1161" w:customStyle="1">
    <w:name w:val="Заголовок 4 Знак"/>
    <w:link w:val="961"/>
    <w:rPr>
      <w:rFonts w:eastAsia="Calibri"/>
      <w:b/>
      <w:bCs/>
      <w:sz w:val="24"/>
      <w:szCs w:val="24"/>
    </w:rPr>
  </w:style>
  <w:style w:type="character" w:styleId="1162" w:customStyle="1">
    <w:name w:val="Заголовок 5 Знак"/>
    <w:link w:val="962"/>
    <w:uiPriority w:val="9"/>
    <w:rPr>
      <w:b/>
      <w:bCs/>
      <w:i/>
      <w:iCs/>
      <w:sz w:val="26"/>
      <w:szCs w:val="26"/>
    </w:rPr>
  </w:style>
  <w:style w:type="character" w:styleId="1163" w:customStyle="1">
    <w:name w:val="Заголовок 9 Знак"/>
    <w:link w:val="966"/>
    <w:uiPriority w:val="9"/>
    <w:rPr>
      <w:rFonts w:ascii="Arial" w:hAnsi="Arial" w:cs="Arial"/>
      <w:sz w:val="22"/>
      <w:szCs w:val="22"/>
    </w:rPr>
  </w:style>
  <w:style w:type="paragraph" w:styleId="1164">
    <w:name w:val="No Spacing"/>
    <w:basedOn w:val="95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165">
    <w:name w:val="Caption"/>
    <w:basedOn w:val="957"/>
    <w:next w:val="957"/>
    <w:link w:val="98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166" w:customStyle="1">
    <w:name w:val="Название Знак"/>
    <w:link w:val="1124"/>
    <w:uiPriority w:val="10"/>
    <w:rPr>
      <w:sz w:val="28"/>
    </w:rPr>
  </w:style>
  <w:style w:type="paragraph" w:styleId="1167">
    <w:name w:val="Subtitle"/>
    <w:basedOn w:val="957"/>
    <w:next w:val="957"/>
    <w:link w:val="116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168" w:customStyle="1">
    <w:name w:val="Подзаголовок Знак"/>
    <w:link w:val="116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169">
    <w:name w:val="Emphasis"/>
    <w:uiPriority w:val="20"/>
    <w:qFormat/>
    <w:rPr>
      <w:i/>
      <w:iCs/>
    </w:rPr>
  </w:style>
  <w:style w:type="paragraph" w:styleId="1170">
    <w:name w:val="List Paragraph"/>
    <w:basedOn w:val="957"/>
    <w:link w:val="120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171">
    <w:name w:val="Quote"/>
    <w:basedOn w:val="957"/>
    <w:next w:val="957"/>
    <w:link w:val="117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172" w:customStyle="1">
    <w:name w:val="Цитата 2 Знак"/>
    <w:link w:val="1171"/>
    <w:uiPriority w:val="29"/>
    <w:rPr>
      <w:rFonts w:ascii="Calibri" w:hAnsi="Calibri" w:eastAsia="Calibri"/>
      <w:i/>
      <w:iCs/>
      <w:color w:val="000000"/>
    </w:rPr>
  </w:style>
  <w:style w:type="paragraph" w:styleId="1173">
    <w:name w:val="Intense Quote"/>
    <w:basedOn w:val="957"/>
    <w:next w:val="957"/>
    <w:link w:val="117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174" w:customStyle="1">
    <w:name w:val="Выделенная цитата Знак"/>
    <w:link w:val="1173"/>
    <w:uiPriority w:val="30"/>
    <w:rPr>
      <w:rFonts w:ascii="Calibri" w:hAnsi="Calibri" w:eastAsia="Calibri"/>
      <w:b/>
      <w:bCs/>
      <w:i/>
      <w:iCs/>
      <w:color w:val="4f81bd"/>
    </w:rPr>
  </w:style>
  <w:style w:type="character" w:styleId="1175">
    <w:name w:val="Subtle Emphasis"/>
    <w:uiPriority w:val="19"/>
    <w:qFormat/>
    <w:rPr>
      <w:i/>
      <w:iCs/>
      <w:color w:val="808080"/>
    </w:rPr>
  </w:style>
  <w:style w:type="character" w:styleId="1176">
    <w:name w:val="Intense Emphasis"/>
    <w:uiPriority w:val="21"/>
    <w:qFormat/>
    <w:rPr>
      <w:b/>
      <w:bCs/>
      <w:i/>
      <w:iCs/>
      <w:color w:val="4f81bd"/>
    </w:rPr>
  </w:style>
  <w:style w:type="character" w:styleId="1177">
    <w:name w:val="Subtle Reference"/>
    <w:uiPriority w:val="31"/>
    <w:qFormat/>
    <w:rPr>
      <w:smallCaps/>
      <w:color w:val="c0504d"/>
      <w:u w:val="single"/>
    </w:rPr>
  </w:style>
  <w:style w:type="character" w:styleId="117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179">
    <w:name w:val="Book Title"/>
    <w:uiPriority w:val="33"/>
    <w:qFormat/>
    <w:rPr>
      <w:b/>
      <w:bCs/>
      <w:smallCaps/>
      <w:spacing w:val="5"/>
    </w:rPr>
  </w:style>
  <w:style w:type="paragraph" w:styleId="1180">
    <w:name w:val="TOC Heading"/>
    <w:basedOn w:val="958"/>
    <w:next w:val="95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181">
    <w:name w:val="E-mail Signature"/>
    <w:basedOn w:val="957"/>
    <w:link w:val="1182"/>
    <w:uiPriority w:val="99"/>
    <w:unhideWhenUsed/>
    <w:rPr>
      <w:rFonts w:eastAsia="Calibri"/>
      <w:sz w:val="24"/>
      <w:szCs w:val="24"/>
    </w:rPr>
  </w:style>
  <w:style w:type="character" w:styleId="1182" w:customStyle="1">
    <w:name w:val="Электронная подпись Знак"/>
    <w:link w:val="1181"/>
    <w:uiPriority w:val="99"/>
    <w:rPr>
      <w:rFonts w:eastAsia="Calibri"/>
      <w:sz w:val="24"/>
      <w:szCs w:val="24"/>
    </w:rPr>
  </w:style>
  <w:style w:type="paragraph" w:styleId="1183" w:customStyle="1">
    <w:name w:val="Знак"/>
    <w:basedOn w:val="9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84" w:customStyle="1">
    <w:name w:val="Нумерованный список ур3"/>
    <w:basedOn w:val="95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185" w:customStyle="1">
    <w:name w:val="Нумерованный список 1"/>
    <w:basedOn w:val="95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86" w:customStyle="1">
    <w:name w:val="Нумерованный список ур2"/>
    <w:basedOn w:val="95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87">
    <w:name w:val="Revision"/>
    <w:hidden/>
    <w:uiPriority w:val="99"/>
    <w:semiHidden/>
    <w:rPr>
      <w:rFonts w:eastAsia="Calibri"/>
      <w:sz w:val="24"/>
      <w:szCs w:val="24"/>
    </w:rPr>
  </w:style>
  <w:style w:type="paragraph" w:styleId="118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189" w:customStyle="1">
    <w:name w:val="Знак Знак3 Знак Знак"/>
    <w:basedOn w:val="95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90" w:customStyle="1">
    <w:name w:val="Пункт"/>
    <w:basedOn w:val="95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191" w:customStyle="1">
    <w:name w:val="Подпункт Знак1"/>
    <w:link w:val="1135"/>
    <w:rPr>
      <w:sz w:val="28"/>
    </w:rPr>
  </w:style>
  <w:style w:type="paragraph" w:styleId="1192" w:customStyle="1">
    <w:name w:val="Абзац списка1"/>
    <w:basedOn w:val="95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193" w:customStyle="1">
    <w:name w:val="Текст сноски Знак"/>
    <w:link w:val="1119"/>
    <w:uiPriority w:val="99"/>
  </w:style>
  <w:style w:type="numbering" w:styleId="1194" w:customStyle="1">
    <w:name w:val="Стиль1"/>
    <w:uiPriority w:val="99"/>
    <w:pPr>
      <w:numPr>
        <w:ilvl w:val="0"/>
        <w:numId w:val="3"/>
      </w:numPr>
    </w:pPr>
  </w:style>
  <w:style w:type="paragraph" w:styleId="1195" w:customStyle="1">
    <w:name w:val="Таблица"/>
    <w:basedOn w:val="95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196" w:customStyle="1">
    <w:name w:val="Основной текст Знак"/>
    <w:link w:val="1129"/>
    <w:rPr>
      <w:sz w:val="28"/>
      <w:szCs w:val="28"/>
    </w:rPr>
  </w:style>
  <w:style w:type="character" w:styleId="1197" w:customStyle="1">
    <w:name w:val="blk"/>
  </w:style>
  <w:style w:type="numbering" w:styleId="1198" w:customStyle="1">
    <w:name w:val="Стиль2"/>
    <w:uiPriority w:val="99"/>
    <w:pPr>
      <w:numPr>
        <w:ilvl w:val="0"/>
        <w:numId w:val="4"/>
      </w:numPr>
    </w:pPr>
  </w:style>
  <w:style w:type="paragraph" w:styleId="1199" w:customStyle="1">
    <w:name w:val="Таблица шапка"/>
    <w:basedOn w:val="957"/>
    <w:pPr>
      <w:ind w:left="57" w:right="57"/>
      <w:keepNext/>
      <w:spacing w:before="40" w:after="40"/>
    </w:pPr>
    <w:rPr>
      <w:sz w:val="22"/>
      <w:szCs w:val="26"/>
    </w:rPr>
  </w:style>
  <w:style w:type="character" w:styleId="1200" w:customStyle="1">
    <w:name w:val="Абзац списка Знак"/>
    <w:link w:val="1170"/>
    <w:uiPriority w:val="34"/>
    <w:qFormat/>
    <w:rPr>
      <w:rFonts w:eastAsia="Calibri"/>
      <w:sz w:val="24"/>
      <w:szCs w:val="24"/>
    </w:rPr>
  </w:style>
  <w:style w:type="character" w:styleId="1201" w:customStyle="1">
    <w:name w:val="комментарий"/>
    <w:rPr>
      <w:b/>
      <w:i/>
      <w:shd w:val="clear" w:color="auto" w:fill="ffff99"/>
    </w:rPr>
  </w:style>
  <w:style w:type="paragraph" w:styleId="1202" w:customStyle="1">
    <w:name w:val="Подподпункт"/>
    <w:basedOn w:val="1135"/>
    <w:link w:val="120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203" w:customStyle="1">
    <w:name w:val="Подподпункт Знак"/>
    <w:link w:val="1202"/>
    <w:rPr>
      <w:sz w:val="26"/>
      <w:szCs w:val="26"/>
    </w:rPr>
  </w:style>
  <w:style w:type="paragraph" w:styleId="1204" w:customStyle="1">
    <w:name w:val="УРОВЕНЬ_(а)"/>
    <w:basedOn w:val="1170"/>
    <w:qFormat/>
    <w:pPr>
      <w:numPr>
        <w:ilvl w:val="3"/>
        <w:numId w:val="5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205" w:customStyle="1">
    <w:name w:val="УРОВЕНЬ_-"/>
    <w:basedOn w:val="1170"/>
    <w:qFormat/>
    <w:pPr>
      <w:numPr>
        <w:ilvl w:val="4"/>
        <w:numId w:val="5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206" w:customStyle="1">
    <w:name w:val="УРОВЕНЬ_Абзац_тип2"/>
    <w:basedOn w:val="1170"/>
    <w:qFormat/>
    <w:pPr>
      <w:numPr>
        <w:ilvl w:val="6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07" w:customStyle="1">
    <w:name w:val="УРОВЕНЬ_Абзац_тип3"/>
    <w:basedOn w:val="1170"/>
    <w:link w:val="1209"/>
    <w:qFormat/>
    <w:pPr>
      <w:numPr>
        <w:ilvl w:val="7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08" w:customStyle="1">
    <w:name w:val="УРОВЕНЬ_Подпись"/>
    <w:basedOn w:val="1170"/>
    <w:qFormat/>
    <w:pPr>
      <w:numPr>
        <w:ilvl w:val="5"/>
        <w:numId w:val="5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209" w:customStyle="1">
    <w:name w:val="УРОВЕНЬ_Абзац_тип3 Знак"/>
    <w:link w:val="1207"/>
    <w:rPr>
      <w:rFonts w:eastAsia="Calibri"/>
      <w:sz w:val="26"/>
      <w:szCs w:val="28"/>
      <w:lang w:eastAsia="en-US"/>
    </w:rPr>
  </w:style>
  <w:style w:type="character" w:styleId="1210" w:customStyle="1">
    <w:name w:val="Верхний колонтитул Знак"/>
    <w:link w:val="1125"/>
    <w:uiPriority w:val="99"/>
    <w:rPr>
      <w:sz w:val="24"/>
      <w:szCs w:val="24"/>
    </w:rPr>
  </w:style>
  <w:style w:type="character" w:styleId="1211" w:customStyle="1">
    <w:name w:val="Текст примечания Знак"/>
    <w:link w:val="1146"/>
    <w:semiHidden/>
  </w:style>
  <w:style w:type="paragraph" w:styleId="1212" w:customStyle="1">
    <w:name w:val="Стиль Заголовок 1 + по ширине"/>
    <w:basedOn w:val="95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213">
    <w:name w:val="endnote text"/>
    <w:basedOn w:val="957"/>
    <w:link w:val="1214"/>
    <w:rPr>
      <w:sz w:val="20"/>
      <w:szCs w:val="20"/>
    </w:rPr>
  </w:style>
  <w:style w:type="character" w:styleId="1214" w:customStyle="1">
    <w:name w:val="Текст концевой сноски Знак"/>
    <w:basedOn w:val="967"/>
    <w:link w:val="1213"/>
  </w:style>
  <w:style w:type="character" w:styleId="1215">
    <w:name w:val="endnote reference"/>
    <w:basedOn w:val="967"/>
    <w:rPr>
      <w:vertAlign w:val="superscript"/>
    </w:rPr>
  </w:style>
  <w:style w:type="paragraph" w:styleId="1216" w:customStyle="1">
    <w:name w:val="Заголовок 2 КВВ"/>
    <w:basedOn w:val="957"/>
    <w:qFormat/>
    <w:pPr>
      <w:numPr>
        <w:ilvl w:val="0"/>
        <w:numId w:val="6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217" w:customStyle="1">
    <w:name w:val="Пункт2 Знак"/>
    <w:link w:val="1136"/>
    <w:rPr>
      <w:b/>
      <w:sz w:val="28"/>
    </w:rPr>
  </w:style>
  <w:style w:type="paragraph" w:styleId="1218" w:customStyle="1">
    <w:name w:val="Таблица текст"/>
    <w:basedOn w:val="957"/>
    <w:pPr>
      <w:ind w:left="57" w:right="57"/>
      <w:spacing w:before="40" w:after="40"/>
    </w:pPr>
    <w:rPr>
      <w:sz w:val="24"/>
      <w:szCs w:val="26"/>
    </w:rPr>
  </w:style>
  <w:style w:type="paragraph" w:styleId="1219">
    <w:name w:val="Normal (Web)"/>
    <w:basedOn w:val="95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220" w:customStyle="1">
    <w:name w:val="УРОВЕНЬ_1."/>
    <w:basedOn w:val="1170"/>
    <w:link w:val="122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221" w:customStyle="1">
    <w:name w:val="УРОВЕНЬ_1. Знак"/>
    <w:link w:val="1220"/>
    <w:rPr>
      <w:rFonts w:eastAsia="Calibri"/>
      <w:caps/>
      <w:sz w:val="28"/>
      <w:szCs w:val="28"/>
      <w:lang w:eastAsia="en-US"/>
    </w:rPr>
  </w:style>
  <w:style w:type="table" w:styleId="1222" w:customStyle="1">
    <w:name w:val="Сетка таблицы1"/>
    <w:basedOn w:val="968"/>
    <w:next w:val="112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23">
    <w:name w:val="toc 6"/>
    <w:basedOn w:val="957"/>
    <w:next w:val="95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224">
    <w:name w:val="toc 7"/>
    <w:basedOn w:val="957"/>
    <w:next w:val="95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225">
    <w:name w:val="toc 8"/>
    <w:basedOn w:val="957"/>
    <w:next w:val="95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226" w:customStyle="1">
    <w:name w:val="Неразрешенное упоминание1"/>
    <w:basedOn w:val="967"/>
    <w:uiPriority w:val="99"/>
    <w:semiHidden/>
    <w:unhideWhenUsed/>
    <w:rPr>
      <w:color w:val="605e5c"/>
      <w:shd w:val="clear" w:color="auto" w:fill="e1dfdd"/>
    </w:rPr>
  </w:style>
  <w:style w:type="character" w:styleId="1227" w:customStyle="1">
    <w:name w:val="Основной текст с отступом 3 Знак"/>
    <w:link w:val="1132"/>
    <w:uiPriority w:val="99"/>
    <w:rPr>
      <w:sz w:val="16"/>
      <w:szCs w:val="16"/>
    </w:rPr>
  </w:style>
  <w:style w:type="character" w:styleId="1228" w:customStyle="1">
    <w:name w:val="Нижний колонтитул Знак"/>
    <w:link w:val="1128"/>
    <w:uiPriority w:val="99"/>
    <w:rPr>
      <w:sz w:val="28"/>
      <w:szCs w:val="28"/>
    </w:rPr>
  </w:style>
  <w:style w:type="paragraph" w:styleId="1229" w:customStyle="1">
    <w:name w:val="Основной текст (2)"/>
    <w:pPr>
      <w:spacing w:after="6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0"/>
      <w:sz w:val="18"/>
      <w:szCs w:val="18"/>
      <w:lang w:bidi="ru-RU"/>
    </w:rPr>
  </w:style>
  <w:style w:type="character" w:styleId="1230" w:customStyle="1">
    <w:name w:val="Ссылка указателя"/>
    <w:qFormat/>
  </w:style>
  <w:style w:type="paragraph" w:styleId="1231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232" w:customStyle="1">
    <w:name w:val="Основной текст (2)_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lang w:val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customXml" Target="../customXml/item1.xml" /><Relationship Id="rId17" Type="http://schemas.openxmlformats.org/officeDocument/2006/relationships/hyperlink" Target="http://www.zakupki.gov.ru" TargetMode="External"/><Relationship Id="rId18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Введите ваш текст</w:t>
          </w:r>
          <w:r/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01" w:default="1">
    <w:name w:val="Normal"/>
    <w:qFormat/>
  </w:style>
  <w:style w:type="character" w:styleId="1702" w:default="1">
    <w:name w:val="Default Paragraph Font"/>
    <w:uiPriority w:val="1"/>
    <w:semiHidden/>
    <w:unhideWhenUsed/>
  </w:style>
  <w:style w:type="numbering" w:styleId="1703" w:default="1">
    <w:name w:val="No List"/>
    <w:uiPriority w:val="99"/>
    <w:semiHidden/>
    <w:unhideWhenUsed/>
  </w:style>
  <w:style w:type="paragraph" w:styleId="1704">
    <w:name w:val="Heading 1"/>
    <w:basedOn w:val="1701"/>
    <w:next w:val="1701"/>
    <w:link w:val="1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705">
    <w:name w:val="Heading 1 Char"/>
    <w:basedOn w:val="1702"/>
    <w:link w:val="1704"/>
    <w:uiPriority w:val="9"/>
    <w:rPr>
      <w:rFonts w:ascii="Arial" w:hAnsi="Arial" w:eastAsia="Arial" w:cs="Arial"/>
      <w:sz w:val="40"/>
      <w:szCs w:val="40"/>
    </w:rPr>
  </w:style>
  <w:style w:type="paragraph" w:styleId="1706">
    <w:name w:val="Heading 2"/>
    <w:basedOn w:val="1701"/>
    <w:next w:val="1701"/>
    <w:link w:val="1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707">
    <w:name w:val="Heading 2 Char"/>
    <w:basedOn w:val="1702"/>
    <w:link w:val="1706"/>
    <w:uiPriority w:val="9"/>
    <w:rPr>
      <w:rFonts w:ascii="Arial" w:hAnsi="Arial" w:eastAsia="Arial" w:cs="Arial"/>
      <w:sz w:val="34"/>
    </w:rPr>
  </w:style>
  <w:style w:type="paragraph" w:styleId="1708">
    <w:name w:val="Heading 3"/>
    <w:basedOn w:val="1701"/>
    <w:next w:val="1701"/>
    <w:link w:val="1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09">
    <w:name w:val="Heading 3 Char"/>
    <w:basedOn w:val="1702"/>
    <w:link w:val="1708"/>
    <w:uiPriority w:val="9"/>
    <w:rPr>
      <w:rFonts w:ascii="Arial" w:hAnsi="Arial" w:eastAsia="Arial" w:cs="Arial"/>
      <w:sz w:val="30"/>
      <w:szCs w:val="30"/>
    </w:rPr>
  </w:style>
  <w:style w:type="paragraph" w:styleId="1710">
    <w:name w:val="Heading 4"/>
    <w:basedOn w:val="1701"/>
    <w:next w:val="1701"/>
    <w:link w:val="1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711">
    <w:name w:val="Heading 4 Char"/>
    <w:basedOn w:val="1702"/>
    <w:link w:val="1710"/>
    <w:uiPriority w:val="9"/>
    <w:rPr>
      <w:rFonts w:ascii="Arial" w:hAnsi="Arial" w:eastAsia="Arial" w:cs="Arial"/>
      <w:b/>
      <w:bCs/>
      <w:sz w:val="26"/>
      <w:szCs w:val="26"/>
    </w:rPr>
  </w:style>
  <w:style w:type="paragraph" w:styleId="1712">
    <w:name w:val="Heading 5"/>
    <w:basedOn w:val="1701"/>
    <w:next w:val="1701"/>
    <w:link w:val="1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713">
    <w:name w:val="Heading 5 Char"/>
    <w:basedOn w:val="1702"/>
    <w:link w:val="1712"/>
    <w:uiPriority w:val="9"/>
    <w:rPr>
      <w:rFonts w:ascii="Arial" w:hAnsi="Arial" w:eastAsia="Arial" w:cs="Arial"/>
      <w:b/>
      <w:bCs/>
      <w:sz w:val="24"/>
      <w:szCs w:val="24"/>
    </w:rPr>
  </w:style>
  <w:style w:type="paragraph" w:styleId="1714">
    <w:name w:val="Heading 6"/>
    <w:basedOn w:val="1701"/>
    <w:next w:val="1701"/>
    <w:link w:val="1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715">
    <w:name w:val="Heading 6 Char"/>
    <w:basedOn w:val="1702"/>
    <w:link w:val="1714"/>
    <w:uiPriority w:val="9"/>
    <w:rPr>
      <w:rFonts w:ascii="Arial" w:hAnsi="Arial" w:eastAsia="Arial" w:cs="Arial"/>
      <w:b/>
      <w:bCs/>
      <w:sz w:val="22"/>
      <w:szCs w:val="22"/>
    </w:rPr>
  </w:style>
  <w:style w:type="paragraph" w:styleId="1716">
    <w:name w:val="Heading 7"/>
    <w:basedOn w:val="1701"/>
    <w:next w:val="1701"/>
    <w:link w:val="1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717">
    <w:name w:val="Heading 7 Char"/>
    <w:basedOn w:val="1702"/>
    <w:link w:val="1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718">
    <w:name w:val="Heading 8"/>
    <w:basedOn w:val="1701"/>
    <w:next w:val="1701"/>
    <w:link w:val="1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719">
    <w:name w:val="Heading 8 Char"/>
    <w:basedOn w:val="1702"/>
    <w:link w:val="1718"/>
    <w:uiPriority w:val="9"/>
    <w:rPr>
      <w:rFonts w:ascii="Arial" w:hAnsi="Arial" w:eastAsia="Arial" w:cs="Arial"/>
      <w:i/>
      <w:iCs/>
      <w:sz w:val="22"/>
      <w:szCs w:val="22"/>
    </w:rPr>
  </w:style>
  <w:style w:type="paragraph" w:styleId="1720">
    <w:name w:val="Heading 9"/>
    <w:basedOn w:val="1701"/>
    <w:next w:val="1701"/>
    <w:link w:val="1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721">
    <w:name w:val="Heading 9 Char"/>
    <w:basedOn w:val="1702"/>
    <w:link w:val="1720"/>
    <w:uiPriority w:val="9"/>
    <w:rPr>
      <w:rFonts w:ascii="Arial" w:hAnsi="Arial" w:eastAsia="Arial" w:cs="Arial"/>
      <w:i/>
      <w:iCs/>
      <w:sz w:val="21"/>
      <w:szCs w:val="21"/>
    </w:rPr>
  </w:style>
  <w:style w:type="paragraph" w:styleId="1722">
    <w:name w:val="List Paragraph"/>
    <w:basedOn w:val="1701"/>
    <w:uiPriority w:val="34"/>
    <w:qFormat/>
    <w:pPr>
      <w:contextualSpacing/>
      <w:ind w:left="720"/>
    </w:pPr>
  </w:style>
  <w:style w:type="table" w:styleId="1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724">
    <w:name w:val="No Spacing"/>
    <w:uiPriority w:val="1"/>
    <w:qFormat/>
    <w:pPr>
      <w:spacing w:before="0" w:after="0" w:line="240" w:lineRule="auto"/>
    </w:pPr>
  </w:style>
  <w:style w:type="paragraph" w:styleId="1725">
    <w:name w:val="Title"/>
    <w:basedOn w:val="1701"/>
    <w:next w:val="1701"/>
    <w:link w:val="172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726">
    <w:name w:val="Title Char"/>
    <w:basedOn w:val="1702"/>
    <w:link w:val="1725"/>
    <w:uiPriority w:val="10"/>
    <w:rPr>
      <w:sz w:val="48"/>
      <w:szCs w:val="48"/>
    </w:rPr>
  </w:style>
  <w:style w:type="paragraph" w:styleId="1727">
    <w:name w:val="Subtitle"/>
    <w:basedOn w:val="1701"/>
    <w:next w:val="1701"/>
    <w:link w:val="1728"/>
    <w:uiPriority w:val="11"/>
    <w:qFormat/>
    <w:pPr>
      <w:spacing w:before="200" w:after="200"/>
    </w:pPr>
    <w:rPr>
      <w:sz w:val="24"/>
      <w:szCs w:val="24"/>
    </w:rPr>
  </w:style>
  <w:style w:type="character" w:styleId="1728">
    <w:name w:val="Subtitle Char"/>
    <w:basedOn w:val="1702"/>
    <w:link w:val="1727"/>
    <w:uiPriority w:val="11"/>
    <w:rPr>
      <w:sz w:val="24"/>
      <w:szCs w:val="24"/>
    </w:rPr>
  </w:style>
  <w:style w:type="paragraph" w:styleId="1729">
    <w:name w:val="Quote"/>
    <w:basedOn w:val="1701"/>
    <w:next w:val="1701"/>
    <w:link w:val="1730"/>
    <w:uiPriority w:val="29"/>
    <w:qFormat/>
    <w:pPr>
      <w:ind w:left="720" w:right="720"/>
    </w:pPr>
    <w:rPr>
      <w:i/>
    </w:rPr>
  </w:style>
  <w:style w:type="character" w:styleId="1730">
    <w:name w:val="Quote Char"/>
    <w:link w:val="1729"/>
    <w:uiPriority w:val="29"/>
    <w:rPr>
      <w:i/>
    </w:rPr>
  </w:style>
  <w:style w:type="paragraph" w:styleId="1731">
    <w:name w:val="Intense Quote"/>
    <w:basedOn w:val="1701"/>
    <w:next w:val="1701"/>
    <w:link w:val="173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732">
    <w:name w:val="Intense Quote Char"/>
    <w:link w:val="1731"/>
    <w:uiPriority w:val="30"/>
    <w:rPr>
      <w:i/>
    </w:rPr>
  </w:style>
  <w:style w:type="paragraph" w:styleId="1733">
    <w:name w:val="Header"/>
    <w:basedOn w:val="1701"/>
    <w:link w:val="1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734">
    <w:name w:val="Header Char"/>
    <w:basedOn w:val="1702"/>
    <w:link w:val="1733"/>
    <w:uiPriority w:val="99"/>
  </w:style>
  <w:style w:type="paragraph" w:styleId="1735">
    <w:name w:val="Footer"/>
    <w:basedOn w:val="1701"/>
    <w:link w:val="1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736">
    <w:name w:val="Footer Char"/>
    <w:basedOn w:val="1702"/>
    <w:link w:val="1735"/>
    <w:uiPriority w:val="99"/>
  </w:style>
  <w:style w:type="paragraph" w:styleId="1737">
    <w:name w:val="Caption"/>
    <w:basedOn w:val="1701"/>
    <w:next w:val="1701"/>
    <w:link w:val="17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738">
    <w:name w:val="Caption Char"/>
    <w:basedOn w:val="1702"/>
    <w:link w:val="1737"/>
    <w:uiPriority w:val="35"/>
    <w:rPr>
      <w:b/>
      <w:bCs/>
      <w:color w:val="4f81bd" w:themeColor="accent1"/>
      <w:sz w:val="18"/>
      <w:szCs w:val="18"/>
    </w:rPr>
  </w:style>
  <w:style w:type="table" w:styleId="1739">
    <w:name w:val="Table Grid"/>
    <w:basedOn w:val="17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740">
    <w:name w:val="Table Grid Light"/>
    <w:basedOn w:val="1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741">
    <w:name w:val="Plain Table 1"/>
    <w:basedOn w:val="1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742">
    <w:name w:val="Plain Table 2"/>
    <w:basedOn w:val="17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743">
    <w:name w:val="Plain Table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744">
    <w:name w:val="Plain Table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45">
    <w:name w:val="Plain Table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746">
    <w:name w:val="Grid Table 1 Light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47">
    <w:name w:val="Grid Table 1 Light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48">
    <w:name w:val="Grid Table 1 Light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49">
    <w:name w:val="Grid Table 1 Light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50">
    <w:name w:val="Grid Table 1 Light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51">
    <w:name w:val="Grid Table 1 Light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52">
    <w:name w:val="Grid Table 1 Light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753">
    <w:name w:val="Grid Table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54">
    <w:name w:val="Grid Table 2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55">
    <w:name w:val="Grid Table 2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56">
    <w:name w:val="Grid Table 2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57">
    <w:name w:val="Grid Table 2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58">
    <w:name w:val="Grid Table 2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59">
    <w:name w:val="Grid Table 2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0">
    <w:name w:val="Grid Table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1">
    <w:name w:val="Grid Table 3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2">
    <w:name w:val="Grid Table 3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3">
    <w:name w:val="Grid Table 3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4">
    <w:name w:val="Grid Table 3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5">
    <w:name w:val="Grid Table 3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6">
    <w:name w:val="Grid Table 3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67">
    <w:name w:val="Grid Table 4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768">
    <w:name w:val="Grid Table 4 - Accent 1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769">
    <w:name w:val="Grid Table 4 - Accent 2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770">
    <w:name w:val="Grid Table 4 - Accent 3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771">
    <w:name w:val="Grid Table 4 - Accent 4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772">
    <w:name w:val="Grid Table 4 - Accent 5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773">
    <w:name w:val="Grid Table 4 - Accent 6"/>
    <w:basedOn w:val="1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774">
    <w:name w:val="Grid Table 5 Dark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775">
    <w:name w:val="Grid Table 5 Dark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776">
    <w:name w:val="Grid Table 5 Dark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777">
    <w:name w:val="Grid Table 5 Dark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778">
    <w:name w:val="Grid Table 5 Dark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779">
    <w:name w:val="Grid Table 5 Dark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780">
    <w:name w:val="Grid Table 5 Dark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781">
    <w:name w:val="Grid Table 6 Colorful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782">
    <w:name w:val="Grid Table 6 Colorful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783">
    <w:name w:val="Grid Table 6 Colorful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784">
    <w:name w:val="Grid Table 6 Colorful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785">
    <w:name w:val="Grid Table 6 Colorful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786">
    <w:name w:val="Grid Table 6 Colorful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787">
    <w:name w:val="Grid Table 6 Colorful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788">
    <w:name w:val="Grid Table 7 Colorful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89">
    <w:name w:val="Grid Table 7 Colorful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0">
    <w:name w:val="Grid Table 7 Colorful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1">
    <w:name w:val="Grid Table 7 Colorful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2">
    <w:name w:val="Grid Table 7 Colorful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3">
    <w:name w:val="Grid Table 7 Colorful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4">
    <w:name w:val="Grid Table 7 Colorful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5">
    <w:name w:val="List Table 1 Light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6">
    <w:name w:val="List Table 1 Light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7">
    <w:name w:val="List Table 1 Light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8">
    <w:name w:val="List Table 1 Light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99">
    <w:name w:val="List Table 1 Light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00">
    <w:name w:val="List Table 1 Light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01">
    <w:name w:val="List Table 1 Light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02">
    <w:name w:val="List Table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803">
    <w:name w:val="List Table 2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804">
    <w:name w:val="List Table 2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805">
    <w:name w:val="List Table 2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806">
    <w:name w:val="List Table 2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807">
    <w:name w:val="List Table 2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808">
    <w:name w:val="List Table 2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809">
    <w:name w:val="List Table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0">
    <w:name w:val="List Table 3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1">
    <w:name w:val="List Table 3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2">
    <w:name w:val="List Table 3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3">
    <w:name w:val="List Table 3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4">
    <w:name w:val="List Table 3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5">
    <w:name w:val="List Table 3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6">
    <w:name w:val="List Table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7">
    <w:name w:val="List Table 4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8">
    <w:name w:val="List Table 4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9">
    <w:name w:val="List Table 4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0">
    <w:name w:val="List Table 4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1">
    <w:name w:val="List Table 4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2">
    <w:name w:val="List Table 4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3">
    <w:name w:val="List Table 5 Dark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24">
    <w:name w:val="List Table 5 Dark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25">
    <w:name w:val="List Table 5 Dark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26">
    <w:name w:val="List Table 5 Dark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27">
    <w:name w:val="List Table 5 Dark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28">
    <w:name w:val="List Table 5 Dark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29">
    <w:name w:val="List Table 5 Dark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30">
    <w:name w:val="List Table 6 Colorful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831">
    <w:name w:val="List Table 6 Colorful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832">
    <w:name w:val="List Table 6 Colorful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833">
    <w:name w:val="List Table 6 Colorful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834">
    <w:name w:val="List Table 6 Colorful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835">
    <w:name w:val="List Table 6 Colorful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836">
    <w:name w:val="List Table 6 Colorful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837">
    <w:name w:val="List Table 7 Colorful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838">
    <w:name w:val="List Table 7 Colorful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839">
    <w:name w:val="List Table 7 Colorful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840">
    <w:name w:val="List Table 7 Colorful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841">
    <w:name w:val="List Table 7 Colorful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842">
    <w:name w:val="List Table 7 Colorful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843">
    <w:name w:val="List Table 7 Colorful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844">
    <w:name w:val="Lined - Accent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845">
    <w:name w:val="Lined - Accent 1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846">
    <w:name w:val="Lined - Accent 2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847">
    <w:name w:val="Lined - Accent 3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848">
    <w:name w:val="Lined - Accent 4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849">
    <w:name w:val="Lined - Accent 5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850">
    <w:name w:val="Lined - Accent 6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851">
    <w:name w:val="Bordered &amp; Lined - Accent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852">
    <w:name w:val="Bordered &amp; Lined - Accent 1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853">
    <w:name w:val="Bordered &amp; Lined - Accent 2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854">
    <w:name w:val="Bordered &amp; Lined - Accent 3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855">
    <w:name w:val="Bordered &amp; Lined - Accent 4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856">
    <w:name w:val="Bordered &amp; Lined - Accent 5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857">
    <w:name w:val="Bordered &amp; Lined - Accent 6"/>
    <w:basedOn w:val="1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858">
    <w:name w:val="Bordered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859">
    <w:name w:val="Bordered - Accent 1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860">
    <w:name w:val="Bordered - Accent 2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861">
    <w:name w:val="Bordered - Accent 3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862">
    <w:name w:val="Bordered - Accent 4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863">
    <w:name w:val="Bordered - Accent 5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864">
    <w:name w:val="Bordered - Accent 6"/>
    <w:basedOn w:val="1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865">
    <w:name w:val="Hyperlink"/>
    <w:uiPriority w:val="99"/>
    <w:unhideWhenUsed/>
    <w:rPr>
      <w:color w:val="0000ff" w:themeColor="hyperlink"/>
      <w:u w:val="single"/>
    </w:rPr>
  </w:style>
  <w:style w:type="paragraph" w:styleId="1866">
    <w:name w:val="footnote text"/>
    <w:basedOn w:val="1701"/>
    <w:link w:val="1867"/>
    <w:uiPriority w:val="99"/>
    <w:semiHidden/>
    <w:unhideWhenUsed/>
    <w:pPr>
      <w:spacing w:after="40" w:line="240" w:lineRule="auto"/>
    </w:pPr>
    <w:rPr>
      <w:sz w:val="18"/>
    </w:rPr>
  </w:style>
  <w:style w:type="character" w:styleId="1867">
    <w:name w:val="Footnote Text Char"/>
    <w:link w:val="1866"/>
    <w:uiPriority w:val="99"/>
    <w:rPr>
      <w:sz w:val="18"/>
    </w:rPr>
  </w:style>
  <w:style w:type="character" w:styleId="1868">
    <w:name w:val="footnote reference"/>
    <w:basedOn w:val="1702"/>
    <w:uiPriority w:val="99"/>
    <w:unhideWhenUsed/>
    <w:rPr>
      <w:vertAlign w:val="superscript"/>
    </w:rPr>
  </w:style>
  <w:style w:type="paragraph" w:styleId="1869">
    <w:name w:val="endnote text"/>
    <w:basedOn w:val="1701"/>
    <w:link w:val="1870"/>
    <w:uiPriority w:val="99"/>
    <w:semiHidden/>
    <w:unhideWhenUsed/>
    <w:pPr>
      <w:spacing w:after="0" w:line="240" w:lineRule="auto"/>
    </w:pPr>
    <w:rPr>
      <w:sz w:val="20"/>
    </w:rPr>
  </w:style>
  <w:style w:type="character" w:styleId="1870">
    <w:name w:val="Endnote Text Char"/>
    <w:link w:val="1869"/>
    <w:uiPriority w:val="99"/>
    <w:rPr>
      <w:sz w:val="20"/>
    </w:rPr>
  </w:style>
  <w:style w:type="character" w:styleId="1871">
    <w:name w:val="endnote reference"/>
    <w:basedOn w:val="1702"/>
    <w:uiPriority w:val="99"/>
    <w:semiHidden/>
    <w:unhideWhenUsed/>
    <w:rPr>
      <w:vertAlign w:val="superscript"/>
    </w:rPr>
  </w:style>
  <w:style w:type="paragraph" w:styleId="1872">
    <w:name w:val="toc 1"/>
    <w:basedOn w:val="1701"/>
    <w:next w:val="1701"/>
    <w:uiPriority w:val="39"/>
    <w:unhideWhenUsed/>
    <w:pPr>
      <w:ind w:left="0" w:right="0" w:firstLine="0"/>
      <w:spacing w:after="57"/>
    </w:pPr>
  </w:style>
  <w:style w:type="paragraph" w:styleId="1873">
    <w:name w:val="toc 2"/>
    <w:basedOn w:val="1701"/>
    <w:next w:val="1701"/>
    <w:uiPriority w:val="39"/>
    <w:unhideWhenUsed/>
    <w:pPr>
      <w:ind w:left="283" w:right="0" w:firstLine="0"/>
      <w:spacing w:after="57"/>
    </w:pPr>
  </w:style>
  <w:style w:type="paragraph" w:styleId="1874">
    <w:name w:val="toc 3"/>
    <w:basedOn w:val="1701"/>
    <w:next w:val="1701"/>
    <w:uiPriority w:val="39"/>
    <w:unhideWhenUsed/>
    <w:pPr>
      <w:ind w:left="567" w:right="0" w:firstLine="0"/>
      <w:spacing w:after="57"/>
    </w:pPr>
  </w:style>
  <w:style w:type="paragraph" w:styleId="1875">
    <w:name w:val="toc 4"/>
    <w:basedOn w:val="1701"/>
    <w:next w:val="1701"/>
    <w:uiPriority w:val="39"/>
    <w:unhideWhenUsed/>
    <w:pPr>
      <w:ind w:left="850" w:right="0" w:firstLine="0"/>
      <w:spacing w:after="57"/>
    </w:pPr>
  </w:style>
  <w:style w:type="paragraph" w:styleId="1876">
    <w:name w:val="toc 5"/>
    <w:basedOn w:val="1701"/>
    <w:next w:val="1701"/>
    <w:uiPriority w:val="39"/>
    <w:unhideWhenUsed/>
    <w:pPr>
      <w:ind w:left="1134" w:right="0" w:firstLine="0"/>
      <w:spacing w:after="57"/>
    </w:pPr>
  </w:style>
  <w:style w:type="paragraph" w:styleId="1877">
    <w:name w:val="toc 6"/>
    <w:basedOn w:val="1701"/>
    <w:next w:val="1701"/>
    <w:uiPriority w:val="39"/>
    <w:unhideWhenUsed/>
    <w:pPr>
      <w:ind w:left="1417" w:right="0" w:firstLine="0"/>
      <w:spacing w:after="57"/>
    </w:pPr>
  </w:style>
  <w:style w:type="paragraph" w:styleId="1878">
    <w:name w:val="toc 7"/>
    <w:basedOn w:val="1701"/>
    <w:next w:val="1701"/>
    <w:uiPriority w:val="39"/>
    <w:unhideWhenUsed/>
    <w:pPr>
      <w:ind w:left="1701" w:right="0" w:firstLine="0"/>
      <w:spacing w:after="57"/>
    </w:pPr>
  </w:style>
  <w:style w:type="paragraph" w:styleId="1879">
    <w:name w:val="toc 8"/>
    <w:basedOn w:val="1701"/>
    <w:next w:val="1701"/>
    <w:uiPriority w:val="39"/>
    <w:unhideWhenUsed/>
    <w:pPr>
      <w:ind w:left="1984" w:right="0" w:firstLine="0"/>
      <w:spacing w:after="57"/>
    </w:pPr>
  </w:style>
  <w:style w:type="paragraph" w:styleId="1880">
    <w:name w:val="toc 9"/>
    <w:basedOn w:val="1701"/>
    <w:next w:val="1701"/>
    <w:uiPriority w:val="39"/>
    <w:unhideWhenUsed/>
    <w:pPr>
      <w:ind w:left="2268" w:right="0" w:firstLine="0"/>
      <w:spacing w:after="57"/>
    </w:pPr>
  </w:style>
  <w:style w:type="paragraph" w:styleId="1881">
    <w:name w:val="TOC Heading"/>
    <w:uiPriority w:val="39"/>
    <w:unhideWhenUsed/>
  </w:style>
  <w:style w:type="paragraph" w:styleId="1882">
    <w:name w:val="table of figures"/>
    <w:basedOn w:val="1701"/>
    <w:next w:val="1701"/>
    <w:uiPriority w:val="99"/>
    <w:unhideWhenUsed/>
    <w:pPr>
      <w:spacing w:after="0" w:afterAutospacing="0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4B63-6536-4935-AA6D-58A5A4D7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nikitina_nv</cp:lastModifiedBy>
  <cp:revision>83</cp:revision>
  <dcterms:created xsi:type="dcterms:W3CDTF">2023-11-01T05:05:00Z</dcterms:created>
  <dcterms:modified xsi:type="dcterms:W3CDTF">2026-05-26T06:24:57Z</dcterms:modified>
</cp:coreProperties>
</file>